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E8" w:rsidRDefault="00952C26">
      <w:pPr>
        <w:pStyle w:val="Intituldirectio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F90FA" wp14:editId="3609B497">
            <wp:simplePos x="0" y="0"/>
            <wp:positionH relativeFrom="column">
              <wp:posOffset>-178435</wp:posOffset>
            </wp:positionH>
            <wp:positionV relativeFrom="paragraph">
              <wp:posOffset>-390525</wp:posOffset>
            </wp:positionV>
            <wp:extent cx="1616075" cy="1674495"/>
            <wp:effectExtent l="0" t="0" r="0" b="0"/>
            <wp:wrapTight wrapText="bothSides">
              <wp:wrapPolygon edited="0">
                <wp:start x="1528" y="1720"/>
                <wp:lineTo x="1782" y="19659"/>
                <wp:lineTo x="8148" y="19659"/>
                <wp:lineTo x="8657" y="18184"/>
                <wp:lineTo x="7639" y="17939"/>
                <wp:lineTo x="5602" y="17939"/>
                <wp:lineTo x="19096" y="14007"/>
                <wp:lineTo x="19606" y="13270"/>
                <wp:lineTo x="18587" y="12041"/>
                <wp:lineTo x="15786" y="10075"/>
                <wp:lineTo x="19860" y="9338"/>
                <wp:lineTo x="19351" y="7618"/>
                <wp:lineTo x="10949" y="6143"/>
                <wp:lineTo x="8912" y="1720"/>
                <wp:lineTo x="1528" y="1720"/>
              </wp:wrapPolygon>
            </wp:wrapTight>
            <wp:docPr id="12" name="Image 11" descr="Mac:Users:xavier.hasendahl:Desktop:ELEMENTS TEMPLATES SIG:LOGOS:PREF_REGIONS:PREF_region_Auvergne_Rhone_Alpes:eps:PREF_region_Auvergne_Rhone_Alpes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:Users:xavier.hasendahl:Desktop:ELEMENTS TEMPLATES SIG:LOGOS:PREF_REGIONS:PREF_region_Auvergne_Rhone_Alpes:eps:PREF_region_Auvergne_Rhone_Alpes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1F">
        <w:rPr>
          <w:rFonts w:ascii="Arial" w:hAnsi="Arial"/>
          <w:sz w:val="28"/>
          <w:szCs w:val="28"/>
        </w:rPr>
        <w:t>Direction régionale des entreprises,</w:t>
      </w:r>
    </w:p>
    <w:p w:rsidR="000832E8" w:rsidRDefault="00D6321F">
      <w:pPr>
        <w:pStyle w:val="Intituldirection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de</w:t>
      </w:r>
      <w:proofErr w:type="gramEnd"/>
      <w:r>
        <w:rPr>
          <w:rFonts w:ascii="Arial" w:hAnsi="Arial"/>
          <w:sz w:val="28"/>
          <w:szCs w:val="28"/>
        </w:rPr>
        <w:t xml:space="preserve"> la concurrence, de la consommation,</w:t>
      </w:r>
    </w:p>
    <w:p w:rsidR="000832E8" w:rsidRDefault="00D6321F">
      <w:pPr>
        <w:pStyle w:val="Intituldirection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du</w:t>
      </w:r>
      <w:proofErr w:type="gramEnd"/>
      <w:r>
        <w:rPr>
          <w:rFonts w:ascii="Arial" w:hAnsi="Arial"/>
          <w:sz w:val="28"/>
          <w:szCs w:val="28"/>
        </w:rPr>
        <w:t xml:space="preserve"> travail et de l’emploi</w:t>
      </w:r>
    </w:p>
    <w:p w:rsidR="00050B1A" w:rsidRDefault="00050B1A">
      <w:pPr>
        <w:rPr>
          <w:rFonts w:cs="Mangal"/>
          <w:szCs w:val="21"/>
        </w:rPr>
        <w:sectPr w:rsidR="00050B1A">
          <w:pgSz w:w="11906" w:h="16838"/>
          <w:pgMar w:top="1134" w:right="1134" w:bottom="1134" w:left="1134" w:header="720" w:footer="720" w:gutter="0"/>
          <w:cols w:space="720"/>
        </w:sectPr>
      </w:pPr>
    </w:p>
    <w:p w:rsidR="000832E8" w:rsidRDefault="00D6321F">
      <w:pPr>
        <w:pStyle w:val="En-tte"/>
        <w:tabs>
          <w:tab w:val="clear" w:pos="4513"/>
        </w:tabs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ab/>
      </w:r>
    </w:p>
    <w:p w:rsidR="000832E8" w:rsidRDefault="000832E8">
      <w:pPr>
        <w:pStyle w:val="En-tte"/>
        <w:tabs>
          <w:tab w:val="clear" w:pos="4513"/>
        </w:tabs>
        <w:jc w:val="right"/>
        <w:rPr>
          <w:rFonts w:ascii="Arial" w:hAnsi="Arial"/>
          <w:b/>
          <w:bCs/>
        </w:rPr>
      </w:pPr>
    </w:p>
    <w:p w:rsidR="000832E8" w:rsidRDefault="000832E8">
      <w:pPr>
        <w:pStyle w:val="Pieddepage"/>
        <w:rPr>
          <w:rFonts w:ascii="Arial" w:hAnsi="Arial"/>
        </w:rPr>
      </w:pPr>
    </w:p>
    <w:p w:rsidR="000832E8" w:rsidRDefault="000832E8">
      <w:pPr>
        <w:pStyle w:val="Textbody"/>
        <w:rPr>
          <w:rFonts w:ascii="Arial" w:hAnsi="Arial"/>
        </w:rPr>
      </w:pPr>
    </w:p>
    <w:p w:rsidR="000832E8" w:rsidRDefault="000832E8">
      <w:pPr>
        <w:pStyle w:val="Textbody"/>
        <w:rPr>
          <w:rFonts w:ascii="Arial" w:hAnsi="Arial"/>
        </w:rPr>
      </w:pPr>
    </w:p>
    <w:tbl>
      <w:tblPr>
        <w:tblW w:w="9915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980"/>
      </w:tblGrid>
      <w:tr w:rsidR="000832E8">
        <w:trPr>
          <w:trHeight w:val="855"/>
        </w:trPr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E8" w:rsidRDefault="00D6321F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service économique de l’État en région</w:t>
            </w:r>
          </w:p>
          <w:p w:rsidR="000832E8" w:rsidRDefault="00D6321F" w:rsidP="00952C26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Affaire suivie par : </w:t>
            </w:r>
            <w:r w:rsidR="00952C26">
              <w:rPr>
                <w:rFonts w:ascii="Arial" w:hAnsi="Arial"/>
                <w:sz w:val="22"/>
                <w:szCs w:val="22"/>
              </w:rPr>
              <w:t>Jean Langlois-Meurinne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2E8" w:rsidRDefault="00952C26">
            <w:pPr>
              <w:pStyle w:val="Textbody"/>
              <w:jc w:val="right"/>
            </w:pPr>
            <w:r>
              <w:rPr>
                <w:rFonts w:ascii="Arial" w:hAnsi="Arial"/>
                <w:sz w:val="22"/>
                <w:szCs w:val="22"/>
              </w:rPr>
              <w:t>Lyon</w:t>
            </w:r>
            <w:r w:rsidR="0041009C">
              <w:rPr>
                <w:rFonts w:ascii="Arial" w:hAnsi="Arial"/>
                <w:sz w:val="22"/>
                <w:szCs w:val="22"/>
              </w:rPr>
              <w:t xml:space="preserve">, le </w:t>
            </w:r>
            <w:r w:rsidR="003064A6">
              <w:rPr>
                <w:rFonts w:ascii="Arial" w:hAnsi="Arial"/>
                <w:sz w:val="22"/>
                <w:szCs w:val="22"/>
              </w:rPr>
              <w:t>30</w:t>
            </w:r>
            <w:r w:rsidR="00D6321F">
              <w:rPr>
                <w:rFonts w:ascii="Arial" w:hAnsi="Arial"/>
                <w:sz w:val="22"/>
                <w:szCs w:val="22"/>
              </w:rPr>
              <w:t xml:space="preserve"> octobre 2020</w:t>
            </w:r>
          </w:p>
          <w:p w:rsidR="000832E8" w:rsidRDefault="000832E8">
            <w:pPr>
              <w:pStyle w:val="Textbody"/>
              <w:rPr>
                <w:rFonts w:ascii="Arial" w:hAnsi="Arial"/>
              </w:rPr>
            </w:pPr>
          </w:p>
        </w:tc>
      </w:tr>
    </w:tbl>
    <w:p w:rsidR="000832E8" w:rsidRDefault="000832E8">
      <w:pPr>
        <w:pStyle w:val="Textbody"/>
        <w:rPr>
          <w:rFonts w:ascii="Arial" w:hAnsi="Arial"/>
        </w:rPr>
      </w:pPr>
    </w:p>
    <w:p w:rsidR="000832E8" w:rsidRPr="00952C26" w:rsidRDefault="00D6321F">
      <w:pPr>
        <w:pStyle w:val="Objet"/>
        <w:spacing w:before="0" w:after="240"/>
        <w:jc w:val="both"/>
        <w:rPr>
          <w:rFonts w:ascii="Arial" w:hAnsi="Arial"/>
          <w:color w:val="auto"/>
          <w:sz w:val="24"/>
          <w:u w:val="single"/>
        </w:rPr>
      </w:pPr>
      <w:r w:rsidRPr="00952C26">
        <w:rPr>
          <w:rStyle w:val="ObjetCar"/>
          <w:rFonts w:ascii="Arial" w:hAnsi="Arial"/>
          <w:b/>
          <w:color w:val="auto"/>
          <w:sz w:val="24"/>
          <w:u w:val="single"/>
        </w:rPr>
        <w:t>Objet :</w:t>
      </w:r>
      <w:r w:rsidRPr="00952C26">
        <w:rPr>
          <w:rFonts w:ascii="Arial" w:hAnsi="Arial"/>
          <w:color w:val="auto"/>
          <w:sz w:val="24"/>
          <w:u w:val="single"/>
        </w:rPr>
        <w:t xml:space="preserve"> </w:t>
      </w:r>
      <w:r w:rsidR="00952C26" w:rsidRPr="00952C26">
        <w:rPr>
          <w:rFonts w:ascii="Arial" w:hAnsi="Arial"/>
          <w:color w:val="auto"/>
          <w:sz w:val="24"/>
          <w:u w:val="single"/>
        </w:rPr>
        <w:t xml:space="preserve">Présentation des mesures d’urgence – Confinement du 30 octobre </w:t>
      </w:r>
    </w:p>
    <w:p w:rsidR="003513D0" w:rsidRPr="0019286C" w:rsidRDefault="00952C26" w:rsidP="0019286C">
      <w:pPr>
        <w:pStyle w:val="Textbody"/>
        <w:spacing w:before="100" w:beforeAutospacing="1" w:after="120"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Contexte </w:t>
      </w:r>
      <w:r w:rsidR="004700DB" w:rsidRPr="004700DB">
        <w:rPr>
          <w:rFonts w:ascii="Arial" w:hAnsi="Arial"/>
          <w:b/>
          <w:sz w:val="22"/>
          <w:szCs w:val="22"/>
        </w:rPr>
        <w:t>:</w:t>
      </w:r>
      <w:r w:rsidR="004700DB">
        <w:rPr>
          <w:rFonts w:ascii="Arial" w:hAnsi="Arial"/>
          <w:sz w:val="22"/>
          <w:szCs w:val="22"/>
        </w:rPr>
        <w:t xml:space="preserve"> l</w:t>
      </w:r>
      <w:r w:rsidR="003064A6" w:rsidRPr="003064A6">
        <w:rPr>
          <w:rFonts w:ascii="Arial" w:hAnsi="Arial"/>
          <w:sz w:val="22"/>
          <w:szCs w:val="22"/>
        </w:rPr>
        <w:t xml:space="preserve">e confinement est un coup dur pour toutes les entreprises, qu’elles soient contraintes de fermer ou non. Le soutien économique de l’Etat sera encore plus fort que lors du premier confinement. </w:t>
      </w:r>
      <w:r w:rsidR="0019286C">
        <w:rPr>
          <w:rFonts w:ascii="Arial" w:hAnsi="Arial"/>
          <w:sz w:val="22"/>
          <w:szCs w:val="22"/>
        </w:rPr>
        <w:t>Le Gouvernement est dans une l</w:t>
      </w:r>
      <w:r w:rsidR="003064A6" w:rsidRPr="003064A6">
        <w:rPr>
          <w:rFonts w:ascii="Arial" w:hAnsi="Arial"/>
          <w:sz w:val="22"/>
          <w:szCs w:val="22"/>
        </w:rPr>
        <w:t xml:space="preserve">ogique d’écoute très forte </w:t>
      </w:r>
      <w:r w:rsidR="0019286C">
        <w:rPr>
          <w:rFonts w:ascii="Arial" w:hAnsi="Arial"/>
          <w:sz w:val="22"/>
          <w:szCs w:val="22"/>
        </w:rPr>
        <w:t>de façon à</w:t>
      </w:r>
      <w:r w:rsidR="003064A6" w:rsidRPr="003064A6">
        <w:rPr>
          <w:rFonts w:ascii="Arial" w:hAnsi="Arial"/>
          <w:sz w:val="22"/>
          <w:szCs w:val="22"/>
        </w:rPr>
        <w:t xml:space="preserve"> adapter</w:t>
      </w:r>
      <w:r w:rsidR="0019286C">
        <w:rPr>
          <w:rFonts w:ascii="Arial" w:hAnsi="Arial"/>
          <w:sz w:val="22"/>
          <w:szCs w:val="22"/>
        </w:rPr>
        <w:t xml:space="preserve"> les dispositifs aux besoins de l’économie</w:t>
      </w:r>
      <w:r w:rsidR="003064A6" w:rsidRPr="003064A6">
        <w:rPr>
          <w:rFonts w:ascii="Arial" w:hAnsi="Arial"/>
          <w:sz w:val="22"/>
          <w:szCs w:val="22"/>
        </w:rPr>
        <w:t xml:space="preserve">. </w:t>
      </w:r>
      <w:r w:rsidR="0019286C">
        <w:rPr>
          <w:rFonts w:ascii="Arial" w:hAnsi="Arial"/>
          <w:sz w:val="22"/>
          <w:szCs w:val="22"/>
        </w:rPr>
        <w:t xml:space="preserve">Contrairement au premier confinement, l’économie doit continuer de fonctionner </w:t>
      </w:r>
      <w:r w:rsidR="003064A6" w:rsidRPr="003064A6">
        <w:rPr>
          <w:rFonts w:ascii="Arial" w:hAnsi="Arial"/>
          <w:sz w:val="22"/>
          <w:szCs w:val="22"/>
        </w:rPr>
        <w:t xml:space="preserve">: ouverture des mairies pour les permis de construire, ouverture des concessions automobiles sur RDV, soutien du développement du </w:t>
      </w:r>
      <w:r w:rsidR="003064A6" w:rsidRPr="003513D0">
        <w:rPr>
          <w:rFonts w:ascii="Arial" w:hAnsi="Arial"/>
          <w:i/>
          <w:sz w:val="22"/>
          <w:szCs w:val="22"/>
        </w:rPr>
        <w:t xml:space="preserve">click &amp; </w:t>
      </w:r>
      <w:proofErr w:type="spellStart"/>
      <w:r w:rsidR="003064A6" w:rsidRPr="003513D0">
        <w:rPr>
          <w:rFonts w:ascii="Arial" w:hAnsi="Arial"/>
          <w:i/>
          <w:sz w:val="22"/>
          <w:szCs w:val="22"/>
        </w:rPr>
        <w:t>collect</w:t>
      </w:r>
      <w:proofErr w:type="spellEnd"/>
      <w:r w:rsidR="003064A6" w:rsidRPr="003064A6">
        <w:rPr>
          <w:rFonts w:ascii="Arial" w:hAnsi="Arial"/>
          <w:sz w:val="22"/>
          <w:szCs w:val="22"/>
        </w:rPr>
        <w:t xml:space="preserve"> pour commerçants et de la transition numérique de ces derniers</w:t>
      </w:r>
      <w:r w:rsidR="003064A6" w:rsidRPr="0019286C">
        <w:rPr>
          <w:rFonts w:ascii="Arial" w:hAnsi="Arial"/>
          <w:sz w:val="22"/>
          <w:szCs w:val="22"/>
        </w:rPr>
        <w:t>.</w:t>
      </w:r>
      <w:r w:rsidR="0019286C">
        <w:rPr>
          <w:rFonts w:ascii="Arial" w:hAnsi="Arial"/>
          <w:sz w:val="22"/>
          <w:szCs w:val="22"/>
        </w:rPr>
        <w:t xml:space="preserve"> </w:t>
      </w:r>
      <w:r w:rsidR="003064A6" w:rsidRPr="0019286C">
        <w:rPr>
          <w:rFonts w:ascii="Arial" w:hAnsi="Arial"/>
          <w:sz w:val="22"/>
          <w:szCs w:val="22"/>
        </w:rPr>
        <w:t>200 000 commerces au niveau national vont être obligés de fermer</w:t>
      </w:r>
      <w:r w:rsidR="0019286C" w:rsidRPr="0019286C">
        <w:rPr>
          <w:rFonts w:ascii="Arial" w:hAnsi="Arial"/>
          <w:sz w:val="22"/>
          <w:szCs w:val="22"/>
        </w:rPr>
        <w:t xml:space="preserve"> d’après </w:t>
      </w:r>
      <w:hyperlink r:id="rId10" w:history="1">
        <w:r w:rsidR="0019286C" w:rsidRPr="0019286C">
          <w:rPr>
            <w:rStyle w:val="Lienhypertexte"/>
            <w:rFonts w:ascii="Arial" w:hAnsi="Arial"/>
            <w:sz w:val="22"/>
            <w:szCs w:val="22"/>
          </w:rPr>
          <w:t>le décret n° 2020-1310 du 29 octobre 2020</w:t>
        </w:r>
      </w:hyperlink>
      <w:r w:rsidR="0019286C" w:rsidRPr="0019286C">
        <w:rPr>
          <w:rFonts w:ascii="Arial" w:hAnsi="Arial"/>
          <w:sz w:val="22"/>
          <w:szCs w:val="22"/>
        </w:rPr>
        <w:t>.</w:t>
      </w:r>
    </w:p>
    <w:p w:rsidR="0019286C" w:rsidRDefault="0019286C" w:rsidP="0019286C">
      <w:pPr>
        <w:pStyle w:val="Titre1"/>
        <w:ind w:left="0"/>
      </w:pPr>
    </w:p>
    <w:p w:rsidR="003064A6" w:rsidRPr="003513D0" w:rsidRDefault="003064A6" w:rsidP="003064A6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b/>
          <w:sz w:val="22"/>
          <w:szCs w:val="22"/>
        </w:rPr>
        <w:t>Mesure :</w:t>
      </w:r>
      <w:r w:rsidR="003513D0">
        <w:rPr>
          <w:rFonts w:ascii="Arial" w:hAnsi="Arial"/>
          <w:b/>
          <w:sz w:val="22"/>
          <w:szCs w:val="22"/>
        </w:rPr>
        <w:t xml:space="preserve"> </w:t>
      </w:r>
      <w:r w:rsidR="003513D0">
        <w:rPr>
          <w:rFonts w:ascii="Arial" w:hAnsi="Arial"/>
          <w:sz w:val="22"/>
          <w:szCs w:val="22"/>
        </w:rPr>
        <w:t>plusieurs mesures ont été adoptées ou renforcée.</w:t>
      </w:r>
    </w:p>
    <w:p w:rsidR="003064A6" w:rsidRPr="003064A6" w:rsidRDefault="003064A6" w:rsidP="003513D0">
      <w:pPr>
        <w:pStyle w:val="Textbody"/>
        <w:spacing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sz w:val="22"/>
          <w:szCs w:val="22"/>
          <w:u w:val="single"/>
        </w:rPr>
        <w:t>Fonds de solidarité :</w:t>
      </w:r>
      <w:r w:rsidRPr="003064A6">
        <w:rPr>
          <w:rFonts w:ascii="Arial" w:hAnsi="Arial"/>
          <w:sz w:val="22"/>
          <w:szCs w:val="22"/>
        </w:rPr>
        <w:t xml:space="preserve"> fonds réactivé pour tous et massivement renforcé pour la durée du confinement. (1 500 € pour les TPE fermées administrativement). Plusieurs scénarii :</w:t>
      </w:r>
    </w:p>
    <w:p w:rsidR="003064A6" w:rsidRPr="003064A6" w:rsidRDefault="003064A6" w:rsidP="003513D0">
      <w:pPr>
        <w:pStyle w:val="Textbody"/>
        <w:numPr>
          <w:ilvl w:val="0"/>
          <w:numId w:val="18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commerces et entreprises fermées administrativement (moins de 50 salariés) : possibilité de recevoir une indemnisation mensuelle de 10 000 € sans exception ;</w:t>
      </w:r>
    </w:p>
    <w:p w:rsidR="003064A6" w:rsidRPr="003064A6" w:rsidRDefault="003064A6" w:rsidP="003513D0">
      <w:pPr>
        <w:pStyle w:val="Textbody"/>
        <w:numPr>
          <w:ilvl w:val="0"/>
          <w:numId w:val="18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les entreprises des secteurs du tourisme, de l’événementiel, de la culture, du sport (moins de 50 salariés) qui accusent d’au moins 50% de baisse de CA pourront bénéficier de l’indemnisation de 10 000 € ;</w:t>
      </w:r>
    </w:p>
    <w:p w:rsidR="001D0156" w:rsidRPr="003064A6" w:rsidRDefault="003064A6" w:rsidP="003064A6">
      <w:pPr>
        <w:pStyle w:val="Textbody"/>
        <w:numPr>
          <w:ilvl w:val="0"/>
          <w:numId w:val="18"/>
        </w:numPr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 xml:space="preserve">maintien du </w:t>
      </w:r>
      <w:proofErr w:type="spellStart"/>
      <w:r w:rsidRPr="003064A6">
        <w:rPr>
          <w:rFonts w:ascii="Arial" w:hAnsi="Arial"/>
          <w:sz w:val="22"/>
          <w:szCs w:val="22"/>
        </w:rPr>
        <w:t>FdS</w:t>
      </w:r>
      <w:proofErr w:type="spellEnd"/>
      <w:r w:rsidRPr="003064A6">
        <w:rPr>
          <w:rFonts w:ascii="Arial" w:hAnsi="Arial"/>
          <w:sz w:val="22"/>
          <w:szCs w:val="22"/>
        </w:rPr>
        <w:t xml:space="preserve"> pour les autres entreprises (moins de 50 salariés) : qui accusent d’au moins 50% de baisse de CA pourront bénéficier de l’indemnisation de 1 500 € ;</w:t>
      </w:r>
    </w:p>
    <w:p w:rsidR="003064A6" w:rsidRPr="003064A6" w:rsidRDefault="003064A6" w:rsidP="003513D0">
      <w:pPr>
        <w:pStyle w:val="Textbody"/>
        <w:spacing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sz w:val="22"/>
          <w:szCs w:val="22"/>
          <w:u w:val="single"/>
        </w:rPr>
        <w:t>Exonération et report de cotisations sociales :</w:t>
      </w:r>
      <w:r w:rsidRPr="003064A6">
        <w:rPr>
          <w:rFonts w:ascii="Arial" w:hAnsi="Arial"/>
          <w:sz w:val="22"/>
          <w:szCs w:val="22"/>
        </w:rPr>
        <w:t xml:space="preserve"> extension des entreprises de moins de 10 salariés jusqu’à 50 salariés. </w:t>
      </w:r>
    </w:p>
    <w:p w:rsidR="003064A6" w:rsidRPr="003064A6" w:rsidRDefault="003064A6" w:rsidP="003513D0">
      <w:pPr>
        <w:pStyle w:val="Textbody"/>
        <w:numPr>
          <w:ilvl w:val="0"/>
          <w:numId w:val="19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toutes les entreprises de moins de 50 salariés fermées bénéficieront d’exonérations totales de leurs cotisations sociales.</w:t>
      </w:r>
    </w:p>
    <w:p w:rsidR="003064A6" w:rsidRPr="003064A6" w:rsidRDefault="003064A6" w:rsidP="003513D0">
      <w:pPr>
        <w:pStyle w:val="Textbody"/>
        <w:numPr>
          <w:ilvl w:val="0"/>
          <w:numId w:val="19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toutes les PME (jusqu’à 250 salariés) du tourisme, de l’évènementiel, de la culture et du sport qui auraient perdu 50% de la CA seront exonérées ;</w:t>
      </w:r>
    </w:p>
    <w:p w:rsidR="003064A6" w:rsidRPr="003064A6" w:rsidRDefault="003064A6" w:rsidP="003064A6">
      <w:pPr>
        <w:pStyle w:val="Textbody"/>
        <w:numPr>
          <w:ilvl w:val="0"/>
          <w:numId w:val="19"/>
        </w:numPr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pour les travailleurs indépendants, les prélèvements seront automatiquement suspendus, sans démarche (insister sur la simplification)</w:t>
      </w:r>
    </w:p>
    <w:p w:rsidR="003064A6" w:rsidRPr="003064A6" w:rsidRDefault="003064A6" w:rsidP="003513D0">
      <w:pPr>
        <w:pStyle w:val="Textbody"/>
        <w:spacing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sz w:val="22"/>
          <w:szCs w:val="22"/>
          <w:u w:val="single"/>
        </w:rPr>
        <w:t>Prêts garantis par l’Etat (PGE) :</w:t>
      </w:r>
      <w:r w:rsidRPr="003064A6">
        <w:rPr>
          <w:rFonts w:ascii="Arial" w:hAnsi="Arial"/>
          <w:sz w:val="22"/>
          <w:szCs w:val="22"/>
        </w:rPr>
        <w:t xml:space="preserve"> adaptation du dispositif</w:t>
      </w:r>
    </w:p>
    <w:p w:rsidR="003064A6" w:rsidRPr="003064A6" w:rsidRDefault="003064A6" w:rsidP="003513D0">
      <w:pPr>
        <w:pStyle w:val="Textbody"/>
        <w:numPr>
          <w:ilvl w:val="0"/>
          <w:numId w:val="20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extension du PGE du 31/12/2020 au 30/06/2021 ;</w:t>
      </w:r>
    </w:p>
    <w:p w:rsidR="003064A6" w:rsidRPr="003064A6" w:rsidRDefault="003064A6" w:rsidP="003513D0">
      <w:pPr>
        <w:pStyle w:val="Textbody"/>
        <w:numPr>
          <w:ilvl w:val="0"/>
          <w:numId w:val="20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étalement de l’amortissement du PGE entre 1 et 5 ans avec un taux entre 1 et 2.5%.</w:t>
      </w:r>
    </w:p>
    <w:p w:rsidR="003064A6" w:rsidRDefault="003064A6" w:rsidP="003064A6">
      <w:pPr>
        <w:pStyle w:val="Textbody"/>
        <w:numPr>
          <w:ilvl w:val="0"/>
          <w:numId w:val="20"/>
        </w:numPr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possibilité pour les entreprises qui le souhaitent de demander un nouveau différé de remboursement d’un an (soit deux années au total) ;</w:t>
      </w:r>
    </w:p>
    <w:p w:rsidR="00F72D22" w:rsidRDefault="00F72D22" w:rsidP="00952C26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  <w:u w:val="single"/>
        </w:rPr>
      </w:pPr>
    </w:p>
    <w:p w:rsidR="00952C26" w:rsidRPr="003064A6" w:rsidRDefault="00952C26" w:rsidP="00F72D22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952C26">
        <w:rPr>
          <w:rFonts w:ascii="Arial" w:hAnsi="Arial"/>
          <w:sz w:val="22"/>
          <w:szCs w:val="22"/>
          <w:u w:val="single"/>
        </w:rPr>
        <w:lastRenderedPageBreak/>
        <w:t>Prêts directs de l’Etat</w:t>
      </w:r>
      <w:r w:rsidR="00F72D22">
        <w:rPr>
          <w:rFonts w:ascii="Arial" w:hAnsi="Arial"/>
          <w:sz w:val="22"/>
          <w:szCs w:val="22"/>
          <w:u w:val="single"/>
        </w:rPr>
        <w:t> :</w:t>
      </w:r>
      <w:r w:rsidR="00F72D22" w:rsidRPr="00F72D2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L’Etat p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ourra </w:t>
      </w:r>
      <w:r w:rsidRPr="00952C26">
        <w:rPr>
          <w:rFonts w:ascii="Arial" w:hAnsi="Arial"/>
          <w:sz w:val="22"/>
          <w:szCs w:val="22"/>
        </w:rPr>
        <w:t>accorder des avances remboursables plafonnées à 3 mois de chiffre d’affaires pour les entreprises de plus de 50 salariés.</w:t>
      </w:r>
    </w:p>
    <w:p w:rsidR="00E25613" w:rsidRDefault="003064A6" w:rsidP="003064A6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sz w:val="22"/>
          <w:szCs w:val="22"/>
          <w:u w:val="single"/>
        </w:rPr>
        <w:t>Prise en charge des loyaux :</w:t>
      </w:r>
      <w:r w:rsidRPr="003064A6">
        <w:rPr>
          <w:rFonts w:ascii="Arial" w:hAnsi="Arial"/>
          <w:sz w:val="22"/>
          <w:szCs w:val="22"/>
        </w:rPr>
        <w:t xml:space="preserve"> travail pour le rajout dans le PLF 2021 d’un crédit d’impôt pour inciter les bailleurs à annuler une partie de leurs loyers (pour les entreprises de moins de 250 salariés) fermés administrativement ou HCR sur les mois d’octobre, novembre et décembre. 30% de crédit d’impôt sur le montant des loyers abandonnés.</w:t>
      </w:r>
    </w:p>
    <w:p w:rsidR="00952C26" w:rsidRDefault="00952C26" w:rsidP="00952C26">
      <w:pPr>
        <w:pStyle w:val="Textbody"/>
        <w:spacing w:line="288" w:lineRule="auto"/>
        <w:jc w:val="both"/>
        <w:rPr>
          <w:rFonts w:ascii="Arial" w:hAnsi="Arial"/>
          <w:sz w:val="22"/>
          <w:szCs w:val="22"/>
        </w:rPr>
      </w:pPr>
      <w:r w:rsidRPr="00952C26">
        <w:rPr>
          <w:rFonts w:ascii="Arial" w:hAnsi="Arial"/>
          <w:sz w:val="22"/>
          <w:szCs w:val="22"/>
          <w:u w:val="single"/>
        </w:rPr>
        <w:t>Soutien à la numérisation des artisans :</w:t>
      </w:r>
      <w:r>
        <w:rPr>
          <w:rFonts w:ascii="Arial" w:hAnsi="Arial"/>
          <w:sz w:val="22"/>
          <w:szCs w:val="22"/>
        </w:rPr>
        <w:t xml:space="preserve"> le ministère de l’Economie et des Finances met </w:t>
      </w:r>
      <w:hyperlink r:id="rId11" w:history="1">
        <w:r w:rsidRPr="00952C26">
          <w:rPr>
            <w:rStyle w:val="Lienhypertexte"/>
            <w:rFonts w:ascii="Arial" w:hAnsi="Arial"/>
            <w:sz w:val="22"/>
            <w:szCs w:val="22"/>
          </w:rPr>
          <w:t>une boite à outils à disposition des commerçants et artisans</w:t>
        </w:r>
      </w:hyperlink>
      <w:r>
        <w:rPr>
          <w:rFonts w:ascii="Arial" w:hAnsi="Arial"/>
          <w:sz w:val="22"/>
          <w:szCs w:val="22"/>
        </w:rPr>
        <w:t xml:space="preserve"> qui </w:t>
      </w:r>
      <w:proofErr w:type="gramStart"/>
      <w:r>
        <w:rPr>
          <w:rFonts w:ascii="Arial" w:hAnsi="Arial"/>
          <w:sz w:val="22"/>
          <w:szCs w:val="22"/>
        </w:rPr>
        <w:t>regroupe</w:t>
      </w:r>
      <w:proofErr w:type="gramEnd"/>
      <w:r>
        <w:rPr>
          <w:rFonts w:ascii="Arial" w:hAnsi="Arial"/>
          <w:sz w:val="22"/>
          <w:szCs w:val="22"/>
        </w:rPr>
        <w:t xml:space="preserve"> : </w:t>
      </w:r>
    </w:p>
    <w:p w:rsidR="00952C26" w:rsidRDefault="00952C26" w:rsidP="00952C26">
      <w:pPr>
        <w:pStyle w:val="Textbody"/>
        <w:numPr>
          <w:ilvl w:val="0"/>
          <w:numId w:val="23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solutions pour développer des sites marchands</w:t>
      </w:r>
    </w:p>
    <w:p w:rsidR="00952C26" w:rsidRDefault="00952C26" w:rsidP="00952C26">
      <w:pPr>
        <w:pStyle w:val="Textbody"/>
        <w:numPr>
          <w:ilvl w:val="0"/>
          <w:numId w:val="23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solutions de paiement en ligne</w:t>
      </w:r>
    </w:p>
    <w:p w:rsidR="00952C26" w:rsidRDefault="00952C26" w:rsidP="00952C26">
      <w:pPr>
        <w:pStyle w:val="Textbody"/>
        <w:numPr>
          <w:ilvl w:val="0"/>
          <w:numId w:val="23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solutions de logistique et livraison</w:t>
      </w:r>
    </w:p>
    <w:p w:rsidR="00952C26" w:rsidRDefault="00952C26" w:rsidP="00952C26">
      <w:pPr>
        <w:pStyle w:val="Textbody"/>
        <w:numPr>
          <w:ilvl w:val="0"/>
          <w:numId w:val="23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places de marché permettant aux clients de rechercher des commerçants localement</w:t>
      </w:r>
    </w:p>
    <w:p w:rsidR="00952C26" w:rsidRPr="00952C26" w:rsidRDefault="00952C26" w:rsidP="00952C26">
      <w:pPr>
        <w:pStyle w:val="Textbody"/>
        <w:numPr>
          <w:ilvl w:val="0"/>
          <w:numId w:val="23"/>
        </w:numPr>
        <w:spacing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outils de communication et de sortie de crise</w:t>
      </w:r>
    </w:p>
    <w:p w:rsidR="00952C26" w:rsidRPr="00952C26" w:rsidRDefault="00952C26" w:rsidP="003064A6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</w:rPr>
      </w:pPr>
    </w:p>
    <w:p w:rsidR="003064A6" w:rsidRPr="003064A6" w:rsidRDefault="003064A6" w:rsidP="003513D0">
      <w:pPr>
        <w:pStyle w:val="Textbody"/>
        <w:spacing w:line="288" w:lineRule="auto"/>
        <w:jc w:val="both"/>
        <w:rPr>
          <w:rFonts w:ascii="Arial" w:hAnsi="Arial"/>
          <w:sz w:val="22"/>
          <w:szCs w:val="22"/>
        </w:rPr>
      </w:pPr>
      <w:r w:rsidRPr="003513D0">
        <w:rPr>
          <w:rFonts w:ascii="Arial" w:hAnsi="Arial"/>
          <w:b/>
          <w:sz w:val="22"/>
          <w:szCs w:val="22"/>
        </w:rPr>
        <w:t>Coûts :</w:t>
      </w:r>
      <w:r w:rsidRPr="003064A6">
        <w:rPr>
          <w:rFonts w:ascii="Arial" w:hAnsi="Arial"/>
          <w:sz w:val="22"/>
          <w:szCs w:val="22"/>
        </w:rPr>
        <w:t xml:space="preserve"> 15 Mds€ par mois de confinement ventilé comme suit :</w:t>
      </w:r>
    </w:p>
    <w:p w:rsidR="003064A6" w:rsidRPr="003064A6" w:rsidRDefault="003064A6" w:rsidP="003513D0">
      <w:pPr>
        <w:pStyle w:val="Textbody"/>
        <w:numPr>
          <w:ilvl w:val="0"/>
          <w:numId w:val="21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Fonds de solidarité</w:t>
      </w:r>
      <w:r w:rsidR="003513D0" w:rsidRPr="003064A6">
        <w:rPr>
          <w:rFonts w:ascii="Arial" w:hAnsi="Arial"/>
          <w:sz w:val="22"/>
          <w:szCs w:val="22"/>
        </w:rPr>
        <w:t> : 6 Mds€</w:t>
      </w:r>
    </w:p>
    <w:p w:rsidR="003064A6" w:rsidRPr="003064A6" w:rsidRDefault="003064A6" w:rsidP="003513D0">
      <w:pPr>
        <w:pStyle w:val="Textbody"/>
        <w:numPr>
          <w:ilvl w:val="0"/>
          <w:numId w:val="21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Activité partielle : 7 Mds€</w:t>
      </w:r>
    </w:p>
    <w:p w:rsidR="003064A6" w:rsidRPr="003064A6" w:rsidRDefault="003064A6" w:rsidP="003513D0">
      <w:pPr>
        <w:pStyle w:val="Textbody"/>
        <w:numPr>
          <w:ilvl w:val="0"/>
          <w:numId w:val="21"/>
        </w:numPr>
        <w:spacing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Exonération cotisations sociales : 1 Mds€</w:t>
      </w:r>
    </w:p>
    <w:p w:rsidR="00952C26" w:rsidRPr="00952C26" w:rsidRDefault="003064A6" w:rsidP="00952C26">
      <w:pPr>
        <w:pStyle w:val="Textbody"/>
        <w:numPr>
          <w:ilvl w:val="0"/>
          <w:numId w:val="21"/>
        </w:numPr>
        <w:spacing w:after="120" w:line="288" w:lineRule="auto"/>
        <w:jc w:val="both"/>
        <w:rPr>
          <w:rFonts w:ascii="Arial" w:hAnsi="Arial"/>
          <w:sz w:val="22"/>
          <w:szCs w:val="22"/>
        </w:rPr>
      </w:pPr>
      <w:r w:rsidRPr="003064A6">
        <w:rPr>
          <w:rFonts w:ascii="Arial" w:hAnsi="Arial"/>
          <w:sz w:val="22"/>
          <w:szCs w:val="22"/>
        </w:rPr>
        <w:t>Loyers : 1 Mds€</w:t>
      </w:r>
    </w:p>
    <w:p w:rsidR="00952C26" w:rsidRPr="003064A6" w:rsidRDefault="00952C26" w:rsidP="00952C26">
      <w:pPr>
        <w:pStyle w:val="Textbody"/>
        <w:spacing w:after="120" w:line="288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L’ensemble des mesures d’urgence est disponible sur </w:t>
      </w:r>
      <w:hyperlink r:id="rId12" w:history="1">
        <w:r w:rsidRPr="00952C26">
          <w:rPr>
            <w:rStyle w:val="Lienhypertexte"/>
            <w:rFonts w:ascii="Arial" w:hAnsi="Arial"/>
            <w:sz w:val="22"/>
            <w:szCs w:val="22"/>
          </w:rPr>
          <w:t>le site du ministère de l’économie et des finances.</w:t>
        </w:r>
      </w:hyperlink>
      <w:r>
        <w:rPr>
          <w:rFonts w:ascii="Arial" w:hAnsi="Arial"/>
          <w:sz w:val="22"/>
          <w:szCs w:val="22"/>
        </w:rPr>
        <w:t xml:space="preserve"> </w:t>
      </w:r>
    </w:p>
    <w:sectPr w:rsidR="00952C26" w:rsidRPr="003064A6">
      <w:type w:val="continuous"/>
      <w:pgSz w:w="11906" w:h="16838"/>
      <w:pgMar w:top="1134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CE" w:rsidRDefault="006972CE">
      <w:r>
        <w:separator/>
      </w:r>
    </w:p>
  </w:endnote>
  <w:endnote w:type="continuationSeparator" w:id="0">
    <w:p w:rsidR="006972CE" w:rsidRDefault="0069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 Condensed;Arial Na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CE" w:rsidRDefault="006972CE">
      <w:r>
        <w:rPr>
          <w:color w:val="000000"/>
        </w:rPr>
        <w:separator/>
      </w:r>
    </w:p>
  </w:footnote>
  <w:footnote w:type="continuationSeparator" w:id="0">
    <w:p w:rsidR="006972CE" w:rsidRDefault="0069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FC5"/>
    <w:multiLevelType w:val="multilevel"/>
    <w:tmpl w:val="3D3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047AA"/>
    <w:multiLevelType w:val="hybridMultilevel"/>
    <w:tmpl w:val="0AF0D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2D1"/>
    <w:multiLevelType w:val="hybridMultilevel"/>
    <w:tmpl w:val="CE342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D73"/>
    <w:multiLevelType w:val="multilevel"/>
    <w:tmpl w:val="AFD048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932AC"/>
    <w:multiLevelType w:val="hybridMultilevel"/>
    <w:tmpl w:val="80907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6103A"/>
    <w:multiLevelType w:val="multilevel"/>
    <w:tmpl w:val="546E8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DE2DB0"/>
    <w:multiLevelType w:val="hybridMultilevel"/>
    <w:tmpl w:val="EBA6F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20EFA"/>
    <w:multiLevelType w:val="multilevel"/>
    <w:tmpl w:val="768AF17A"/>
    <w:styleLink w:val="WWNum4"/>
    <w:lvl w:ilvl="0">
      <w:numFmt w:val="bullet"/>
      <w:lvlText w:val="&gt;"/>
      <w:lvlJc w:val="left"/>
      <w:rPr>
        <w:rFonts w:ascii="Times New Roman" w:eastAsia="Arial" w:hAnsi="Times New Roman"/>
        <w:color w:val="231F20"/>
        <w:spacing w:val="-1"/>
        <w:w w:val="100"/>
        <w:sz w:val="20"/>
        <w:szCs w:val="2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17664FB5"/>
    <w:multiLevelType w:val="multilevel"/>
    <w:tmpl w:val="55A4D200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17E02C8D"/>
    <w:multiLevelType w:val="hybridMultilevel"/>
    <w:tmpl w:val="ABA2D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2F66"/>
    <w:multiLevelType w:val="multilevel"/>
    <w:tmpl w:val="4E8EF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187F"/>
    <w:multiLevelType w:val="hybridMultilevel"/>
    <w:tmpl w:val="F29E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2D3"/>
    <w:multiLevelType w:val="hybridMultilevel"/>
    <w:tmpl w:val="2E561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128B"/>
    <w:multiLevelType w:val="multilevel"/>
    <w:tmpl w:val="22625302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4">
    <w:nsid w:val="29B77FD5"/>
    <w:multiLevelType w:val="multilevel"/>
    <w:tmpl w:val="C6E4C0D4"/>
    <w:styleLink w:val="WWNum3"/>
    <w:lvl w:ilvl="0">
      <w:numFmt w:val="bullet"/>
      <w:lvlText w:val="-"/>
      <w:lvlJc w:val="left"/>
      <w:rPr>
        <w:rFonts w:ascii="Times New Roman" w:eastAsia="Arial" w:hAnsi="Times New Roman" w:cs="Arial"/>
        <w:color w:val="231F20"/>
        <w:spacing w:val="-1"/>
        <w:w w:val="100"/>
        <w:sz w:val="20"/>
        <w:szCs w:val="2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31B51A36"/>
    <w:multiLevelType w:val="hybridMultilevel"/>
    <w:tmpl w:val="50F40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85B9C"/>
    <w:multiLevelType w:val="hybridMultilevel"/>
    <w:tmpl w:val="66E8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F55D9"/>
    <w:multiLevelType w:val="multilevel"/>
    <w:tmpl w:val="4DDA1822"/>
    <w:styleLink w:val="WWNum2"/>
    <w:lvl w:ilvl="0">
      <w:numFmt w:val="bullet"/>
      <w:lvlText w:val="̶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597531F4"/>
    <w:multiLevelType w:val="multilevel"/>
    <w:tmpl w:val="1DC2F532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9">
    <w:nsid w:val="63C708A1"/>
    <w:multiLevelType w:val="multilevel"/>
    <w:tmpl w:val="95E01DC6"/>
    <w:styleLink w:val="WWNum1"/>
    <w:lvl w:ilvl="0">
      <w:numFmt w:val="bullet"/>
      <w:lvlText w:val="-"/>
      <w:lvlJc w:val="left"/>
      <w:rPr>
        <w:rFonts w:ascii="Times New Roman" w:eastAsia="Arial" w:hAnsi="Times New Roman" w:cs="Arial"/>
        <w:color w:val="231F20"/>
        <w:spacing w:val="-1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67CD7FD1"/>
    <w:multiLevelType w:val="hybridMultilevel"/>
    <w:tmpl w:val="AA74C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675E0"/>
    <w:multiLevelType w:val="hybridMultilevel"/>
    <w:tmpl w:val="D4EAB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6E0C"/>
    <w:multiLevelType w:val="hybridMultilevel"/>
    <w:tmpl w:val="468CB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20"/>
  </w:num>
  <w:num w:numId="15">
    <w:abstractNumId w:val="18"/>
  </w:num>
  <w:num w:numId="16">
    <w:abstractNumId w:val="13"/>
  </w:num>
  <w:num w:numId="17">
    <w:abstractNumId w:val="22"/>
  </w:num>
  <w:num w:numId="18">
    <w:abstractNumId w:val="4"/>
  </w:num>
  <w:num w:numId="19">
    <w:abstractNumId w:val="1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32E8"/>
    <w:rsid w:val="000162B9"/>
    <w:rsid w:val="000501B9"/>
    <w:rsid w:val="00050B1A"/>
    <w:rsid w:val="00052C62"/>
    <w:rsid w:val="000832E8"/>
    <w:rsid w:val="00090719"/>
    <w:rsid w:val="0019286C"/>
    <w:rsid w:val="002425D5"/>
    <w:rsid w:val="002B7DB1"/>
    <w:rsid w:val="003064A6"/>
    <w:rsid w:val="00340A2C"/>
    <w:rsid w:val="003513D0"/>
    <w:rsid w:val="0041009C"/>
    <w:rsid w:val="00425BF9"/>
    <w:rsid w:val="004700DB"/>
    <w:rsid w:val="004A53F8"/>
    <w:rsid w:val="004E5717"/>
    <w:rsid w:val="006503D6"/>
    <w:rsid w:val="006628CB"/>
    <w:rsid w:val="006972CE"/>
    <w:rsid w:val="006C1487"/>
    <w:rsid w:val="00704B4E"/>
    <w:rsid w:val="007F5418"/>
    <w:rsid w:val="0086411F"/>
    <w:rsid w:val="00866E36"/>
    <w:rsid w:val="009170E3"/>
    <w:rsid w:val="00952C26"/>
    <w:rsid w:val="009B18C8"/>
    <w:rsid w:val="009E2DE4"/>
    <w:rsid w:val="00A43A06"/>
    <w:rsid w:val="00A446AD"/>
    <w:rsid w:val="00A84DDC"/>
    <w:rsid w:val="00A9615B"/>
    <w:rsid w:val="00BB497B"/>
    <w:rsid w:val="00C173FC"/>
    <w:rsid w:val="00C64582"/>
    <w:rsid w:val="00CE28E8"/>
    <w:rsid w:val="00D6321F"/>
    <w:rsid w:val="00D7480A"/>
    <w:rsid w:val="00D82299"/>
    <w:rsid w:val="00F3657D"/>
    <w:rsid w:val="00F676E8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autoRedefine/>
    <w:rsid w:val="0019286C"/>
    <w:pPr>
      <w:ind w:left="111"/>
      <w:outlineLvl w:val="0"/>
    </w:pPr>
    <w:rPr>
      <w:rFonts w:ascii="Arial" w:hAnsi="Arial"/>
      <w:bCs/>
      <w:sz w:val="22"/>
      <w:szCs w:val="22"/>
    </w:rPr>
  </w:style>
  <w:style w:type="paragraph" w:styleId="Titre2">
    <w:name w:val="heading 2"/>
    <w:basedOn w:val="Standard"/>
    <w:next w:val="Standard"/>
    <w:pPr>
      <w:keepNext/>
      <w:keepLines/>
      <w:spacing w:before="40"/>
      <w:outlineLvl w:val="1"/>
    </w:pPr>
    <w:rPr>
      <w:rFonts w:ascii="Arial" w:eastAsia="Arial" w:hAnsi="Arial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Standard"/>
    <w:rPr>
      <w:rFonts w:ascii="Arial" w:eastAsia="Arial" w:hAnsi="Arial"/>
      <w:spacing w:val="-10"/>
      <w:sz w:val="56"/>
      <w:szCs w:val="56"/>
    </w:rPr>
  </w:style>
  <w:style w:type="paragraph" w:customStyle="1" w:styleId="Textbody">
    <w:name w:val="Text body"/>
    <w:basedOn w:val="Standard"/>
    <w:pPr>
      <w:spacing w:line="276" w:lineRule="auto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Standard"/>
  </w:style>
  <w:style w:type="paragraph" w:customStyle="1" w:styleId="Date1">
    <w:name w:val="Date1"/>
    <w:basedOn w:val="Standard"/>
    <w:pPr>
      <w:ind w:left="111"/>
    </w:pPr>
    <w:rPr>
      <w:i/>
      <w:color w:val="231F20"/>
      <w:sz w:val="20"/>
    </w:rPr>
  </w:style>
  <w:style w:type="paragraph" w:styleId="En-tte">
    <w:name w:val="header"/>
    <w:basedOn w:val="Standard"/>
    <w:pPr>
      <w:tabs>
        <w:tab w:val="center" w:pos="4513"/>
        <w:tab w:val="right" w:pos="9026"/>
      </w:tabs>
    </w:pPr>
  </w:style>
  <w:style w:type="paragraph" w:styleId="Pieddepage">
    <w:name w:val="footer"/>
    <w:basedOn w:val="Standard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Standard"/>
    <w:pPr>
      <w:spacing w:after="120" w:line="264" w:lineRule="auto"/>
      <w:jc w:val="center"/>
    </w:pPr>
    <w:rPr>
      <w:rFonts w:ascii="Arial" w:eastAsia="Arial" w:hAnsi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Standard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rPr>
      <w:b w:val="0"/>
      <w:bCs w:val="0"/>
    </w:rPr>
  </w:style>
  <w:style w:type="paragraph" w:customStyle="1" w:styleId="Titre1demapage">
    <w:name w:val="Titre 1 de ma page"/>
    <w:basedOn w:val="Textbody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rPr>
      <w:sz w:val="16"/>
      <w:szCs w:val="16"/>
    </w:rPr>
  </w:style>
  <w:style w:type="paragraph" w:customStyle="1" w:styleId="Titre3demapage">
    <w:name w:val="Titre 3 de ma page"/>
    <w:basedOn w:val="Titre2demapage"/>
    <w:rPr>
      <w:b w:val="0"/>
      <w:bCs w:val="0"/>
    </w:rPr>
  </w:style>
  <w:style w:type="paragraph" w:customStyle="1" w:styleId="Date2">
    <w:name w:val="Date 2"/>
    <w:basedOn w:val="Standard"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Textbody"/>
  </w:style>
  <w:style w:type="paragraph" w:customStyle="1" w:styleId="ServiceInfoHeader">
    <w:name w:val="Service Info Header"/>
    <w:basedOn w:val="En-tte"/>
    <w:pPr>
      <w:tabs>
        <w:tab w:val="clear" w:pos="4513"/>
        <w:tab w:val="clear" w:pos="9026"/>
      </w:tabs>
      <w:jc w:val="right"/>
    </w:pPr>
    <w:rPr>
      <w:b/>
      <w:bCs/>
    </w:rPr>
  </w:style>
  <w:style w:type="paragraph" w:customStyle="1" w:styleId="PieddePage0">
    <w:name w:val="Pied de Page"/>
    <w:basedOn w:val="Standard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Textbody"/>
    <w:rPr>
      <w:b/>
      <w:bCs/>
      <w:sz w:val="24"/>
    </w:rPr>
  </w:style>
  <w:style w:type="paragraph" w:customStyle="1" w:styleId="Titrecentral">
    <w:name w:val="Titre central"/>
    <w:basedOn w:val="Titre1"/>
    <w:pPr>
      <w:ind w:left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ieddePage2">
    <w:name w:val="Pied de Page 2"/>
    <w:basedOn w:val="Standard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pPr>
      <w:tabs>
        <w:tab w:val="clear" w:pos="4513"/>
        <w:tab w:val="clear" w:pos="9026"/>
      </w:tabs>
      <w:jc w:val="right"/>
    </w:pPr>
    <w:rPr>
      <w:b/>
      <w:bCs/>
    </w:rPr>
  </w:style>
  <w:style w:type="paragraph" w:customStyle="1" w:styleId="Pieddepage20">
    <w:name w:val="Pied de page 2"/>
    <w:basedOn w:val="Standard"/>
    <w:pPr>
      <w:spacing w:line="161" w:lineRule="exact"/>
    </w:pPr>
    <w:rPr>
      <w:color w:val="939598"/>
      <w:sz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rPr>
      <w:sz w:val="20"/>
      <w:lang w:val="fr-FR"/>
    </w:rPr>
  </w:style>
  <w:style w:type="character" w:customStyle="1" w:styleId="ObjetCar">
    <w:name w:val="Objet Car"/>
    <w:basedOn w:val="CorpsdetexteCar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rPr>
      <w:color w:val="231F20"/>
      <w:sz w:val="16"/>
      <w:lang w:val="fr-FR"/>
    </w:rPr>
  </w:style>
  <w:style w:type="character" w:styleId="Rfrenceintense">
    <w:name w:val="Intense Reference"/>
    <w:basedOn w:val="Policepardfaut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rPr>
      <w:rFonts w:ascii="Arial" w:eastAsia="Arial" w:hAnsi="Arial" w:cs="Arial"/>
      <w:spacing w:val="-10"/>
      <w:kern w:val="3"/>
      <w:sz w:val="56"/>
      <w:szCs w:val="56"/>
    </w:rPr>
  </w:style>
  <w:style w:type="character" w:customStyle="1" w:styleId="Date1Car">
    <w:name w:val="Date 1 Car"/>
    <w:basedOn w:val="CorpsdetexteCar"/>
    <w:rPr>
      <w:sz w:val="20"/>
      <w:lang w:val="fr-FR"/>
    </w:rPr>
  </w:style>
  <w:style w:type="character" w:customStyle="1" w:styleId="ServiceInfoHeaderCar">
    <w:name w:val="Service Info Header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character" w:customStyle="1" w:styleId="ListLabel1">
    <w:name w:val="ListLabel 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PieddePage2Car">
    <w:name w:val="Pied de Page 2 Car"/>
    <w:basedOn w:val="Policepardfaut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2Car0">
    <w:name w:val="Pied de page 2 Car"/>
    <w:basedOn w:val="Policepardfaut"/>
    <w:rPr>
      <w:color w:val="939598"/>
      <w:sz w:val="14"/>
      <w:lang w:val="fr-FR"/>
    </w:rPr>
  </w:style>
  <w:style w:type="character" w:customStyle="1" w:styleId="lang-la">
    <w:name w:val="lang-la"/>
    <w:basedOn w:val="Policepardfaut1"/>
  </w:style>
  <w:style w:type="character" w:customStyle="1" w:styleId="Policepardfaut1">
    <w:name w:val="Police par défaut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dresseexpditeur">
    <w:name w:val="envelope return"/>
    <w:basedOn w:val="Normal"/>
    <w:pPr>
      <w:textAlignment w:val="auto"/>
    </w:pPr>
    <w:rPr>
      <w:rFonts w:ascii="Gill Sans MT Condensed;Arial Na" w:eastAsia="Times New Roman" w:hAnsi="Gill Sans MT Condensed;Arial Na"/>
      <w:kern w:val="0"/>
      <w:sz w:val="20"/>
      <w:szCs w:val="20"/>
      <w:lang w:bidi="ar-SA"/>
    </w:rPr>
  </w:style>
  <w:style w:type="paragraph" w:customStyle="1" w:styleId="gmail-m1003050706639294928msolistparagraph">
    <w:name w:val="gmail-m_1003050706639294928msolistparagraph"/>
    <w:basedOn w:val="Normal"/>
    <w:rsid w:val="00052C6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000000"/>
      <w:kern w:val="0"/>
      <w:sz w:val="22"/>
      <w:szCs w:val="22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5717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5717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4E5717"/>
    <w:rPr>
      <w:vertAlign w:val="superscript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30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2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autoRedefine/>
    <w:rsid w:val="0019286C"/>
    <w:pPr>
      <w:ind w:left="111"/>
      <w:outlineLvl w:val="0"/>
    </w:pPr>
    <w:rPr>
      <w:rFonts w:ascii="Arial" w:hAnsi="Arial"/>
      <w:bCs/>
      <w:sz w:val="22"/>
      <w:szCs w:val="22"/>
    </w:rPr>
  </w:style>
  <w:style w:type="paragraph" w:styleId="Titre2">
    <w:name w:val="heading 2"/>
    <w:basedOn w:val="Standard"/>
    <w:next w:val="Standard"/>
    <w:pPr>
      <w:keepNext/>
      <w:keepLines/>
      <w:spacing w:before="40"/>
      <w:outlineLvl w:val="1"/>
    </w:pPr>
    <w:rPr>
      <w:rFonts w:ascii="Arial" w:eastAsia="Arial" w:hAnsi="Arial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Standard"/>
    <w:rPr>
      <w:rFonts w:ascii="Arial" w:eastAsia="Arial" w:hAnsi="Arial"/>
      <w:spacing w:val="-10"/>
      <w:sz w:val="56"/>
      <w:szCs w:val="56"/>
    </w:rPr>
  </w:style>
  <w:style w:type="paragraph" w:customStyle="1" w:styleId="Textbody">
    <w:name w:val="Text body"/>
    <w:basedOn w:val="Standard"/>
    <w:pPr>
      <w:spacing w:line="276" w:lineRule="auto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Standard"/>
  </w:style>
  <w:style w:type="paragraph" w:customStyle="1" w:styleId="Date1">
    <w:name w:val="Date1"/>
    <w:basedOn w:val="Standard"/>
    <w:pPr>
      <w:ind w:left="111"/>
    </w:pPr>
    <w:rPr>
      <w:i/>
      <w:color w:val="231F20"/>
      <w:sz w:val="20"/>
    </w:rPr>
  </w:style>
  <w:style w:type="paragraph" w:styleId="En-tte">
    <w:name w:val="header"/>
    <w:basedOn w:val="Standard"/>
    <w:pPr>
      <w:tabs>
        <w:tab w:val="center" w:pos="4513"/>
        <w:tab w:val="right" w:pos="9026"/>
      </w:tabs>
    </w:pPr>
  </w:style>
  <w:style w:type="paragraph" w:styleId="Pieddepage">
    <w:name w:val="footer"/>
    <w:basedOn w:val="Standard"/>
    <w:pPr>
      <w:tabs>
        <w:tab w:val="center" w:pos="4513"/>
        <w:tab w:val="right" w:pos="9026"/>
      </w:tabs>
    </w:pPr>
  </w:style>
  <w:style w:type="paragraph" w:customStyle="1" w:styleId="Objet">
    <w:name w:val="Objet"/>
    <w:basedOn w:val="Textbody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pPr>
      <w:ind w:left="0"/>
      <w:jc w:val="right"/>
    </w:pPr>
    <w:rPr>
      <w:color w:val="000000"/>
      <w:sz w:val="16"/>
    </w:rPr>
  </w:style>
  <w:style w:type="paragraph" w:customStyle="1" w:styleId="Titredelapage">
    <w:name w:val="Titre de la page"/>
    <w:basedOn w:val="Standard"/>
    <w:pPr>
      <w:spacing w:after="120" w:line="264" w:lineRule="auto"/>
      <w:jc w:val="center"/>
    </w:pPr>
    <w:rPr>
      <w:rFonts w:ascii="Arial" w:eastAsia="Arial" w:hAnsi="Arial"/>
      <w:b/>
      <w:bCs/>
      <w:szCs w:val="20"/>
      <w:lang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Standard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rPr>
      <w:b w:val="0"/>
      <w:bCs w:val="0"/>
    </w:rPr>
  </w:style>
  <w:style w:type="paragraph" w:customStyle="1" w:styleId="Titre1demapage">
    <w:name w:val="Titre 1 de ma page"/>
    <w:basedOn w:val="Textbody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rPr>
      <w:sz w:val="16"/>
      <w:szCs w:val="16"/>
    </w:rPr>
  </w:style>
  <w:style w:type="paragraph" w:customStyle="1" w:styleId="Titre3demapage">
    <w:name w:val="Titre 3 de ma page"/>
    <w:basedOn w:val="Titre2demapage"/>
    <w:rPr>
      <w:b w:val="0"/>
      <w:bCs w:val="0"/>
    </w:rPr>
  </w:style>
  <w:style w:type="paragraph" w:customStyle="1" w:styleId="Date2">
    <w:name w:val="Date 2"/>
    <w:basedOn w:val="Standard"/>
    <w:pPr>
      <w:spacing w:before="139"/>
      <w:jc w:val="right"/>
    </w:pPr>
    <w:rPr>
      <w:color w:val="231F20"/>
      <w:sz w:val="16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fr-FR"/>
    </w:rPr>
  </w:style>
  <w:style w:type="paragraph" w:customStyle="1" w:styleId="Date10">
    <w:name w:val="Date 1"/>
    <w:basedOn w:val="Textbody"/>
  </w:style>
  <w:style w:type="paragraph" w:customStyle="1" w:styleId="ServiceInfoHeader">
    <w:name w:val="Service Info Header"/>
    <w:basedOn w:val="En-tte"/>
    <w:pPr>
      <w:tabs>
        <w:tab w:val="clear" w:pos="4513"/>
        <w:tab w:val="clear" w:pos="9026"/>
      </w:tabs>
      <w:jc w:val="right"/>
    </w:pPr>
    <w:rPr>
      <w:b/>
      <w:bCs/>
    </w:rPr>
  </w:style>
  <w:style w:type="paragraph" w:customStyle="1" w:styleId="PieddePage0">
    <w:name w:val="Pied de Page"/>
    <w:basedOn w:val="Standard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Textbody"/>
    <w:rPr>
      <w:b/>
      <w:bCs/>
      <w:sz w:val="24"/>
    </w:rPr>
  </w:style>
  <w:style w:type="paragraph" w:customStyle="1" w:styleId="Titrecentral">
    <w:name w:val="Titre central"/>
    <w:basedOn w:val="Titre1"/>
    <w:pPr>
      <w:ind w:left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ieddePage2">
    <w:name w:val="Pied de Page 2"/>
    <w:basedOn w:val="Standard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pPr>
      <w:tabs>
        <w:tab w:val="clear" w:pos="4513"/>
        <w:tab w:val="clear" w:pos="9026"/>
      </w:tabs>
      <w:jc w:val="right"/>
    </w:pPr>
    <w:rPr>
      <w:b/>
      <w:bCs/>
    </w:rPr>
  </w:style>
  <w:style w:type="paragraph" w:customStyle="1" w:styleId="Pieddepage20">
    <w:name w:val="Pied de page 2"/>
    <w:basedOn w:val="Standard"/>
    <w:pPr>
      <w:spacing w:line="161" w:lineRule="exact"/>
    </w:pPr>
    <w:rPr>
      <w:color w:val="939598"/>
      <w:sz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rPr>
      <w:sz w:val="20"/>
      <w:lang w:val="fr-FR"/>
    </w:rPr>
  </w:style>
  <w:style w:type="character" w:customStyle="1" w:styleId="ObjetCar">
    <w:name w:val="Objet Car"/>
    <w:basedOn w:val="CorpsdetexteCar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rPr>
      <w:color w:val="231F20"/>
      <w:sz w:val="16"/>
      <w:lang w:val="fr-FR"/>
    </w:rPr>
  </w:style>
  <w:style w:type="character" w:styleId="Rfrenceintense">
    <w:name w:val="Intense Reference"/>
    <w:basedOn w:val="Policepardfaut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rPr>
      <w:rFonts w:ascii="Arial" w:eastAsia="Arial" w:hAnsi="Arial" w:cs="Arial"/>
      <w:spacing w:val="-10"/>
      <w:kern w:val="3"/>
      <w:sz w:val="56"/>
      <w:szCs w:val="56"/>
    </w:rPr>
  </w:style>
  <w:style w:type="character" w:customStyle="1" w:styleId="Date1Car">
    <w:name w:val="Date 1 Car"/>
    <w:basedOn w:val="CorpsdetexteCar"/>
    <w:rPr>
      <w:sz w:val="20"/>
      <w:lang w:val="fr-FR"/>
    </w:rPr>
  </w:style>
  <w:style w:type="character" w:customStyle="1" w:styleId="ServiceInfoHeaderCar">
    <w:name w:val="Service Info Header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character" w:customStyle="1" w:styleId="ListLabel1">
    <w:name w:val="ListLabel 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PieddePage2Car">
    <w:name w:val="Pied de Page 2 Car"/>
    <w:basedOn w:val="Policepardfaut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rPr>
      <w:rFonts w:ascii="Arial" w:eastAsia="Arial" w:hAnsi="Arial" w:cs="Arial"/>
      <w:b/>
      <w:bCs/>
      <w:sz w:val="24"/>
      <w:szCs w:val="24"/>
    </w:rPr>
  </w:style>
  <w:style w:type="character" w:customStyle="1" w:styleId="Pieddepage2Car0">
    <w:name w:val="Pied de page 2 Car"/>
    <w:basedOn w:val="Policepardfaut"/>
    <w:rPr>
      <w:color w:val="939598"/>
      <w:sz w:val="14"/>
      <w:lang w:val="fr-FR"/>
    </w:rPr>
  </w:style>
  <w:style w:type="character" w:customStyle="1" w:styleId="lang-la">
    <w:name w:val="lang-la"/>
    <w:basedOn w:val="Policepardfaut1"/>
  </w:style>
  <w:style w:type="character" w:customStyle="1" w:styleId="Policepardfaut1">
    <w:name w:val="Police par défaut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dresseexpditeur">
    <w:name w:val="envelope return"/>
    <w:basedOn w:val="Normal"/>
    <w:pPr>
      <w:textAlignment w:val="auto"/>
    </w:pPr>
    <w:rPr>
      <w:rFonts w:ascii="Gill Sans MT Condensed;Arial Na" w:eastAsia="Times New Roman" w:hAnsi="Gill Sans MT Condensed;Arial Na"/>
      <w:kern w:val="0"/>
      <w:sz w:val="20"/>
      <w:szCs w:val="20"/>
      <w:lang w:bidi="ar-SA"/>
    </w:rPr>
  </w:style>
  <w:style w:type="paragraph" w:customStyle="1" w:styleId="gmail-m1003050706639294928msolistparagraph">
    <w:name w:val="gmail-m_1003050706639294928msolistparagraph"/>
    <w:basedOn w:val="Normal"/>
    <w:rsid w:val="00052C6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000000"/>
      <w:kern w:val="0"/>
      <w:sz w:val="22"/>
      <w:szCs w:val="22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5717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5717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4E5717"/>
    <w:rPr>
      <w:vertAlign w:val="superscript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30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2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onomie.gouv.fr/covid19-soutien-entreprises/les-mes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nomie.gouv.fr/coronavirus-e-commerce-offres-preferentielles-commerca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egifrance.gouv.fr/jorf/id/JORFTEXT0000424751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7F69-5342-4B33-9710-2A72540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JAKYMIW Clément (DR-PDL)</dc:creator>
  <cp:lastModifiedBy>LANGLOIS-MEURINNE Jean (DR-ARA)</cp:lastModifiedBy>
  <cp:revision>4</cp:revision>
  <dcterms:created xsi:type="dcterms:W3CDTF">2020-11-03T19:09:00Z</dcterms:created>
  <dcterms:modified xsi:type="dcterms:W3CDTF">2020-11-03T19:12:00Z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