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88" w:rsidRPr="00BE4B88" w:rsidRDefault="00BE4B88" w:rsidP="00BE4B88">
      <w:pPr>
        <w:rPr>
          <w:rFonts w:cstheme="minorHAnsi"/>
        </w:rPr>
      </w:pPr>
    </w:p>
    <w:p w:rsidR="00BE4B88" w:rsidRPr="00BE4B88" w:rsidRDefault="00BE4B88" w:rsidP="00BE4B88">
      <w:pPr>
        <w:suppressAutoHyphens/>
        <w:autoSpaceDN w:val="0"/>
        <w:jc w:val="right"/>
        <w:textAlignment w:val="baseline"/>
        <w:rPr>
          <w:rFonts w:eastAsia="SimSun" w:cstheme="minorHAnsi"/>
          <w:b/>
          <w:bCs/>
          <w:kern w:val="3"/>
          <w:sz w:val="24"/>
          <w:szCs w:val="24"/>
          <w:lang w:eastAsia="zh-CN" w:bidi="hi-IN"/>
        </w:rPr>
      </w:pPr>
      <w:r w:rsidRPr="00BE4B88">
        <w:rPr>
          <w:rFonts w:eastAsia="SimSun" w:cstheme="minorHAnsi"/>
          <w:b/>
          <w:bCs/>
          <w:noProof/>
          <w:kern w:val="3"/>
          <w:sz w:val="24"/>
          <w:szCs w:val="24"/>
          <w:lang w:eastAsia="fr-FR"/>
        </w:rPr>
        <w:drawing>
          <wp:anchor distT="0" distB="0" distL="114300" distR="114300" simplePos="0" relativeHeight="251659264" behindDoc="0" locked="0" layoutInCell="1" allowOverlap="1" wp14:anchorId="63C57320" wp14:editId="28DE85A4">
            <wp:simplePos x="0" y="0"/>
            <wp:positionH relativeFrom="column">
              <wp:posOffset>-178435</wp:posOffset>
            </wp:positionH>
            <wp:positionV relativeFrom="paragraph">
              <wp:posOffset>-390525</wp:posOffset>
            </wp:positionV>
            <wp:extent cx="1616075" cy="1674495"/>
            <wp:effectExtent l="0" t="0" r="0" b="0"/>
            <wp:wrapTight wrapText="bothSides">
              <wp:wrapPolygon edited="0">
                <wp:start x="1528" y="1720"/>
                <wp:lineTo x="1782" y="19659"/>
                <wp:lineTo x="8148" y="19659"/>
                <wp:lineTo x="8657" y="18184"/>
                <wp:lineTo x="7639" y="17939"/>
                <wp:lineTo x="5602" y="17939"/>
                <wp:lineTo x="19096" y="14007"/>
                <wp:lineTo x="19606" y="13270"/>
                <wp:lineTo x="18587" y="12041"/>
                <wp:lineTo x="15786" y="10075"/>
                <wp:lineTo x="19860" y="9338"/>
                <wp:lineTo x="19351" y="7618"/>
                <wp:lineTo x="10949" y="6143"/>
                <wp:lineTo x="8912" y="1720"/>
                <wp:lineTo x="1528" y="1720"/>
              </wp:wrapPolygon>
            </wp:wrapTight>
            <wp:docPr id="2" name="Image 11" descr="Mac:Users:xavier.hasendahl:Desktop:ELEMENTS TEMPLATES SIG:LOGOS:PREF_REGIONS:PREF_region_Auvergne_Rhone_Alpes:eps:PREF_region_Auvergne_Rhone_Alpes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Users:xavier.hasendahl:Desktop:ELEMENTS TEMPLATES SIG:LOGOS:PREF_REGIONS:PREF_region_Auvergne_Rhone_Alpes:eps:PREF_region_Auvergne_Rhone_Alpes_CMJN.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6075" cy="1674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B88">
        <w:rPr>
          <w:rFonts w:eastAsia="SimSun" w:cstheme="minorHAnsi"/>
          <w:b/>
          <w:bCs/>
          <w:kern w:val="3"/>
          <w:sz w:val="28"/>
          <w:szCs w:val="28"/>
          <w:lang w:eastAsia="zh-CN" w:bidi="hi-IN"/>
        </w:rPr>
        <w:t>Direction régionale des entreprises,</w:t>
      </w:r>
    </w:p>
    <w:p w:rsidR="00BE4B88" w:rsidRPr="00BE4B88" w:rsidRDefault="00BE4B88" w:rsidP="00BE4B88">
      <w:pPr>
        <w:suppressAutoHyphens/>
        <w:autoSpaceDN w:val="0"/>
        <w:jc w:val="right"/>
        <w:textAlignment w:val="baseline"/>
        <w:rPr>
          <w:rFonts w:eastAsia="SimSun" w:cstheme="minorHAnsi"/>
          <w:b/>
          <w:bCs/>
          <w:kern w:val="3"/>
          <w:sz w:val="28"/>
          <w:szCs w:val="28"/>
          <w:lang w:eastAsia="zh-CN" w:bidi="hi-IN"/>
        </w:rPr>
      </w:pPr>
      <w:proofErr w:type="gramStart"/>
      <w:r w:rsidRPr="00BE4B88">
        <w:rPr>
          <w:rFonts w:eastAsia="SimSun" w:cstheme="minorHAnsi"/>
          <w:b/>
          <w:bCs/>
          <w:kern w:val="3"/>
          <w:sz w:val="28"/>
          <w:szCs w:val="28"/>
          <w:lang w:eastAsia="zh-CN" w:bidi="hi-IN"/>
        </w:rPr>
        <w:t>de</w:t>
      </w:r>
      <w:proofErr w:type="gramEnd"/>
      <w:r w:rsidRPr="00BE4B88">
        <w:rPr>
          <w:rFonts w:eastAsia="SimSun" w:cstheme="minorHAnsi"/>
          <w:b/>
          <w:bCs/>
          <w:kern w:val="3"/>
          <w:sz w:val="28"/>
          <w:szCs w:val="28"/>
          <w:lang w:eastAsia="zh-CN" w:bidi="hi-IN"/>
        </w:rPr>
        <w:t xml:space="preserve"> la concurrence, de la consommation,</w:t>
      </w:r>
    </w:p>
    <w:p w:rsidR="00BE4B88" w:rsidRPr="00BE4B88" w:rsidRDefault="00BE4B88" w:rsidP="00BE4B88">
      <w:pPr>
        <w:suppressAutoHyphens/>
        <w:autoSpaceDN w:val="0"/>
        <w:jc w:val="right"/>
        <w:textAlignment w:val="baseline"/>
        <w:rPr>
          <w:rFonts w:eastAsia="SimSun" w:cstheme="minorHAnsi"/>
          <w:b/>
          <w:bCs/>
          <w:kern w:val="3"/>
          <w:sz w:val="28"/>
          <w:szCs w:val="28"/>
          <w:lang w:eastAsia="zh-CN" w:bidi="hi-IN"/>
        </w:rPr>
      </w:pPr>
      <w:proofErr w:type="gramStart"/>
      <w:r w:rsidRPr="00BE4B88">
        <w:rPr>
          <w:rFonts w:eastAsia="SimSun" w:cstheme="minorHAnsi"/>
          <w:b/>
          <w:bCs/>
          <w:kern w:val="3"/>
          <w:sz w:val="28"/>
          <w:szCs w:val="28"/>
          <w:lang w:eastAsia="zh-CN" w:bidi="hi-IN"/>
        </w:rPr>
        <w:t>du</w:t>
      </w:r>
      <w:proofErr w:type="gramEnd"/>
      <w:r w:rsidRPr="00BE4B88">
        <w:rPr>
          <w:rFonts w:eastAsia="SimSun" w:cstheme="minorHAnsi"/>
          <w:b/>
          <w:bCs/>
          <w:kern w:val="3"/>
          <w:sz w:val="28"/>
          <w:szCs w:val="28"/>
          <w:lang w:eastAsia="zh-CN" w:bidi="hi-IN"/>
        </w:rPr>
        <w:t xml:space="preserve"> travail et de l’emploi</w:t>
      </w:r>
    </w:p>
    <w:p w:rsidR="00BE4B88" w:rsidRPr="00BE4B88" w:rsidRDefault="00BE4B88" w:rsidP="00BE4B88">
      <w:pPr>
        <w:suppressAutoHyphens/>
        <w:autoSpaceDN w:val="0"/>
        <w:textAlignment w:val="baseline"/>
        <w:rPr>
          <w:rFonts w:eastAsia="SimSun" w:cstheme="minorHAnsi"/>
          <w:kern w:val="3"/>
          <w:sz w:val="24"/>
          <w:szCs w:val="21"/>
          <w:lang w:eastAsia="zh-CN" w:bidi="hi-IN"/>
        </w:rPr>
      </w:pPr>
    </w:p>
    <w:p w:rsidR="00BE4B88" w:rsidRPr="00BE4B88" w:rsidRDefault="00BE4B88" w:rsidP="00BE4B88">
      <w:pPr>
        <w:rPr>
          <w:rFonts w:eastAsia="SimSun" w:cstheme="minorHAnsi"/>
          <w:sz w:val="24"/>
          <w:szCs w:val="21"/>
          <w:lang w:eastAsia="zh-CN" w:bidi="hi-IN"/>
        </w:rPr>
      </w:pPr>
    </w:p>
    <w:p w:rsidR="00BE4B88" w:rsidRPr="00BE4B88" w:rsidRDefault="00BE4B88" w:rsidP="00BE4B88">
      <w:pPr>
        <w:rPr>
          <w:rFonts w:eastAsia="SimSun" w:cstheme="minorHAnsi"/>
          <w:sz w:val="24"/>
          <w:szCs w:val="21"/>
          <w:lang w:eastAsia="zh-CN" w:bidi="hi-IN"/>
        </w:rPr>
      </w:pPr>
    </w:p>
    <w:tbl>
      <w:tblPr>
        <w:tblW w:w="10434" w:type="dxa"/>
        <w:tblInd w:w="56" w:type="dxa"/>
        <w:tblLayout w:type="fixed"/>
        <w:tblCellMar>
          <w:left w:w="10" w:type="dxa"/>
          <w:right w:w="10" w:type="dxa"/>
        </w:tblCellMar>
        <w:tblLook w:val="0000" w:firstRow="0" w:lastRow="0" w:firstColumn="0" w:lastColumn="0" w:noHBand="0" w:noVBand="0"/>
      </w:tblPr>
      <w:tblGrid>
        <w:gridCol w:w="4935"/>
        <w:gridCol w:w="5499"/>
      </w:tblGrid>
      <w:tr w:rsidR="00BE4B88" w:rsidRPr="00BE4B88" w:rsidTr="00BE4B88">
        <w:trPr>
          <w:trHeight w:val="855"/>
        </w:trPr>
        <w:tc>
          <w:tcPr>
            <w:tcW w:w="4935" w:type="dxa"/>
            <w:shd w:val="clear" w:color="auto" w:fill="auto"/>
            <w:tcMar>
              <w:top w:w="0" w:type="dxa"/>
              <w:left w:w="0" w:type="dxa"/>
              <w:bottom w:w="0" w:type="dxa"/>
              <w:right w:w="0" w:type="dxa"/>
            </w:tcMar>
          </w:tcPr>
          <w:p w:rsidR="00BE4B88" w:rsidRPr="00BE4B88" w:rsidRDefault="00BE4B88" w:rsidP="00BE4B88">
            <w:pPr>
              <w:suppressAutoHyphens/>
              <w:autoSpaceDN w:val="0"/>
              <w:spacing w:line="276" w:lineRule="auto"/>
              <w:textAlignment w:val="baseline"/>
              <w:rPr>
                <w:rFonts w:eastAsia="SimSun" w:cstheme="minorHAnsi"/>
                <w:kern w:val="3"/>
                <w:lang w:eastAsia="zh-CN" w:bidi="hi-IN"/>
              </w:rPr>
            </w:pPr>
            <w:r w:rsidRPr="00BE4B88">
              <w:rPr>
                <w:rFonts w:eastAsia="SimSun" w:cstheme="minorHAnsi"/>
                <w:kern w:val="3"/>
                <w:lang w:eastAsia="zh-CN" w:bidi="hi-IN"/>
              </w:rPr>
              <w:t>S</w:t>
            </w:r>
            <w:r w:rsidRPr="00BE4B88">
              <w:rPr>
                <w:rFonts w:eastAsia="SimSun" w:cstheme="minorHAnsi"/>
                <w:kern w:val="3"/>
                <w:lang w:eastAsia="zh-CN" w:bidi="hi-IN"/>
              </w:rPr>
              <w:t xml:space="preserve">ervice </w:t>
            </w:r>
            <w:r w:rsidRPr="00BE4B88">
              <w:rPr>
                <w:rFonts w:eastAsia="SimSun" w:cstheme="minorHAnsi"/>
                <w:kern w:val="3"/>
                <w:lang w:eastAsia="zh-CN" w:bidi="hi-IN"/>
              </w:rPr>
              <w:t xml:space="preserve">économique </w:t>
            </w:r>
            <w:r w:rsidRPr="00BE4B88">
              <w:rPr>
                <w:rFonts w:eastAsia="SimSun" w:cstheme="minorHAnsi"/>
                <w:kern w:val="3"/>
                <w:lang w:eastAsia="zh-CN" w:bidi="hi-IN"/>
              </w:rPr>
              <w:t xml:space="preserve">de l’État en </w:t>
            </w:r>
            <w:r w:rsidRPr="00BE4B88">
              <w:rPr>
                <w:rFonts w:eastAsia="SimSun" w:cstheme="minorHAnsi"/>
                <w:kern w:val="3"/>
                <w:lang w:eastAsia="zh-CN" w:bidi="hi-IN"/>
              </w:rPr>
              <w:t>région</w:t>
            </w:r>
          </w:p>
          <w:p w:rsidR="00BE4B88" w:rsidRPr="00BE4B88" w:rsidRDefault="00BE4B88" w:rsidP="00BE4B88">
            <w:pPr>
              <w:suppressAutoHyphens/>
              <w:autoSpaceDN w:val="0"/>
              <w:spacing w:line="276" w:lineRule="auto"/>
              <w:textAlignment w:val="baseline"/>
              <w:rPr>
                <w:rFonts w:eastAsia="SimSun" w:cstheme="minorHAnsi"/>
                <w:kern w:val="3"/>
                <w:sz w:val="20"/>
                <w:lang w:eastAsia="zh-CN" w:bidi="hi-IN"/>
              </w:rPr>
            </w:pPr>
            <w:r w:rsidRPr="00BE4B88">
              <w:rPr>
                <w:rFonts w:eastAsia="SimSun" w:cstheme="minorHAnsi"/>
                <w:kern w:val="3"/>
                <w:sz w:val="20"/>
                <w:lang w:eastAsia="zh-CN" w:bidi="hi-IN"/>
              </w:rPr>
              <w:t>Affaire suivie par </w:t>
            </w:r>
            <w:r w:rsidRPr="00BE4B88">
              <w:rPr>
                <w:rFonts w:eastAsia="SimSun" w:cstheme="minorHAnsi"/>
                <w:kern w:val="3"/>
                <w:sz w:val="20"/>
                <w:lang w:eastAsia="zh-CN" w:bidi="hi-IN"/>
              </w:rPr>
              <w:t>Bruno</w:t>
            </w:r>
            <w:r w:rsidRPr="00BE4B88">
              <w:rPr>
                <w:rFonts w:eastAsia="SimSun" w:cstheme="minorHAnsi"/>
                <w:kern w:val="3"/>
                <w:sz w:val="20"/>
                <w:lang w:eastAsia="zh-CN" w:bidi="hi-IN"/>
              </w:rPr>
              <w:t xml:space="preserve"> VAN MAEL </w:t>
            </w:r>
          </w:p>
        </w:tc>
        <w:tc>
          <w:tcPr>
            <w:tcW w:w="5499" w:type="dxa"/>
            <w:shd w:val="clear" w:color="auto" w:fill="auto"/>
            <w:tcMar>
              <w:top w:w="0" w:type="dxa"/>
              <w:left w:w="0" w:type="dxa"/>
              <w:bottom w:w="0" w:type="dxa"/>
              <w:right w:w="0" w:type="dxa"/>
            </w:tcMar>
          </w:tcPr>
          <w:p w:rsidR="00BE4B88" w:rsidRPr="00BE4B88" w:rsidRDefault="00BE4B88" w:rsidP="00BE4B88">
            <w:pPr>
              <w:suppressAutoHyphens/>
              <w:autoSpaceDN w:val="0"/>
              <w:spacing w:line="276" w:lineRule="auto"/>
              <w:jc w:val="right"/>
              <w:textAlignment w:val="baseline"/>
              <w:rPr>
                <w:rFonts w:eastAsia="SimSun" w:cstheme="minorHAnsi"/>
                <w:kern w:val="3"/>
                <w:szCs w:val="24"/>
                <w:lang w:eastAsia="zh-CN" w:bidi="hi-IN"/>
              </w:rPr>
            </w:pPr>
            <w:r w:rsidRPr="00BE4B88">
              <w:rPr>
                <w:rFonts w:eastAsia="SimSun" w:cstheme="minorHAnsi"/>
                <w:kern w:val="3"/>
                <w:lang w:eastAsia="zh-CN" w:bidi="hi-IN"/>
              </w:rPr>
              <w:t xml:space="preserve">Lyon, le </w:t>
            </w:r>
            <w:r w:rsidRPr="00BE4B88">
              <w:rPr>
                <w:rFonts w:eastAsia="SimSun" w:cstheme="minorHAnsi"/>
                <w:kern w:val="3"/>
                <w:lang w:eastAsia="zh-CN" w:bidi="hi-IN"/>
              </w:rPr>
              <w:t>1</w:t>
            </w:r>
            <w:r>
              <w:rPr>
                <w:rFonts w:eastAsia="SimSun" w:cstheme="minorHAnsi"/>
                <w:kern w:val="3"/>
                <w:lang w:eastAsia="zh-CN" w:bidi="hi-IN"/>
              </w:rPr>
              <w:t>7</w:t>
            </w:r>
            <w:r w:rsidRPr="00BE4B88">
              <w:rPr>
                <w:rFonts w:eastAsia="SimSun" w:cstheme="minorHAnsi"/>
                <w:kern w:val="3"/>
                <w:lang w:eastAsia="zh-CN" w:bidi="hi-IN"/>
              </w:rPr>
              <w:t xml:space="preserve"> </w:t>
            </w:r>
            <w:r w:rsidRPr="00BE4B88">
              <w:rPr>
                <w:rFonts w:eastAsia="SimSun" w:cstheme="minorHAnsi"/>
                <w:kern w:val="3"/>
                <w:lang w:eastAsia="zh-CN" w:bidi="hi-IN"/>
              </w:rPr>
              <w:t>décem</w:t>
            </w:r>
            <w:r w:rsidRPr="00BE4B88">
              <w:rPr>
                <w:rFonts w:eastAsia="SimSun" w:cstheme="minorHAnsi"/>
                <w:kern w:val="3"/>
                <w:lang w:eastAsia="zh-CN" w:bidi="hi-IN"/>
              </w:rPr>
              <w:t>bre 2020</w:t>
            </w:r>
          </w:p>
          <w:p w:rsidR="00BE4B88" w:rsidRPr="00BE4B88" w:rsidRDefault="00BE4B88" w:rsidP="00BE4B88">
            <w:pPr>
              <w:suppressAutoHyphens/>
              <w:autoSpaceDN w:val="0"/>
              <w:spacing w:line="276" w:lineRule="auto"/>
              <w:textAlignment w:val="baseline"/>
              <w:rPr>
                <w:rFonts w:eastAsia="SimSun" w:cstheme="minorHAnsi"/>
                <w:kern w:val="3"/>
                <w:sz w:val="20"/>
                <w:szCs w:val="24"/>
                <w:lang w:eastAsia="zh-CN" w:bidi="hi-IN"/>
              </w:rPr>
            </w:pPr>
          </w:p>
        </w:tc>
      </w:tr>
    </w:tbl>
    <w:p w:rsidR="00BE4B88" w:rsidRDefault="00BE4B88" w:rsidP="00BE4B88">
      <w:pPr>
        <w:jc w:val="center"/>
        <w:rPr>
          <w:rFonts w:cstheme="minorHAnsi"/>
          <w:b/>
          <w:sz w:val="28"/>
        </w:rPr>
      </w:pPr>
    </w:p>
    <w:p w:rsidR="00BE4B88" w:rsidRPr="00BE4B88" w:rsidRDefault="00BE4B88" w:rsidP="00BE4B88">
      <w:pPr>
        <w:jc w:val="center"/>
        <w:rPr>
          <w:rFonts w:cstheme="minorHAnsi"/>
          <w:b/>
          <w:sz w:val="28"/>
        </w:rPr>
      </w:pPr>
      <w:r w:rsidRPr="00BE4B88">
        <w:rPr>
          <w:rFonts w:cstheme="minorHAnsi"/>
          <w:b/>
          <w:sz w:val="28"/>
        </w:rPr>
        <w:t>Stations de ski : mise en place de mesures exceptionnelles</w:t>
      </w:r>
    </w:p>
    <w:p w:rsidR="00BE4B88" w:rsidRDefault="00BE4B88" w:rsidP="00BE4B88">
      <w:pPr>
        <w:rPr>
          <w:rFonts w:cstheme="minorHAnsi"/>
        </w:rPr>
      </w:pPr>
    </w:p>
    <w:p w:rsidR="00546F8C" w:rsidRPr="00BE4B88" w:rsidRDefault="00546F8C" w:rsidP="00BE4B88">
      <w:pPr>
        <w:rPr>
          <w:rFonts w:cstheme="minorHAnsi"/>
        </w:rPr>
      </w:pPr>
    </w:p>
    <w:p w:rsidR="00BE4B88" w:rsidRDefault="00BE4B88" w:rsidP="00BE4B88">
      <w:pPr>
        <w:spacing w:after="240"/>
        <w:jc w:val="both"/>
        <w:rPr>
          <w:rFonts w:cstheme="minorHAnsi"/>
        </w:rPr>
      </w:pPr>
      <w:r w:rsidRPr="00BE4B88">
        <w:rPr>
          <w:rFonts w:cstheme="minorHAnsi"/>
        </w:rPr>
        <w:t>Le Gouvernement a annoncé des mesures de soutien exceptionnelles pour aider les entreprises de la montagne qui sont impactées par la fermeture des remontées mécaniques pendant la période d</w:t>
      </w:r>
      <w:bookmarkStart w:id="0" w:name="_GoBack"/>
      <w:bookmarkEnd w:id="0"/>
      <w:r w:rsidRPr="00BE4B88">
        <w:rPr>
          <w:rFonts w:cstheme="minorHAnsi"/>
        </w:rPr>
        <w:t>es fêtes de fin d’année.</w:t>
      </w:r>
    </w:p>
    <w:p w:rsidR="00BE4B88" w:rsidRPr="00546F8C" w:rsidRDefault="00BE4B88" w:rsidP="00BE4B88">
      <w:pPr>
        <w:spacing w:after="120"/>
        <w:jc w:val="both"/>
        <w:rPr>
          <w:rFonts w:cstheme="minorHAnsi"/>
          <w:b/>
          <w:sz w:val="24"/>
        </w:rPr>
      </w:pPr>
      <w:r w:rsidRPr="00546F8C">
        <w:rPr>
          <w:rFonts w:cstheme="minorHAnsi"/>
          <w:b/>
          <w:sz w:val="24"/>
        </w:rPr>
        <w:t>Mesure pour les exploitants de remontées mécaniques</w:t>
      </w:r>
    </w:p>
    <w:p w:rsidR="00BE4B88" w:rsidRDefault="00BE4B88" w:rsidP="00BE4B88">
      <w:pPr>
        <w:spacing w:after="120"/>
        <w:jc w:val="both"/>
        <w:rPr>
          <w:rFonts w:cstheme="minorHAnsi"/>
        </w:rPr>
      </w:pPr>
      <w:r w:rsidRPr="00BE4B88">
        <w:rPr>
          <w:rFonts w:cstheme="minorHAnsi"/>
        </w:rPr>
        <w:t>Les exploitants de remontées mécaniques, publics comme privés, bénéficieront d’un fonds de soutien leur permettant de compenser </w:t>
      </w:r>
      <w:r w:rsidRPr="00BE4B88">
        <w:rPr>
          <w:rFonts w:cstheme="minorHAnsi"/>
          <w:b/>
          <w:bCs/>
        </w:rPr>
        <w:t>70 %</w:t>
      </w:r>
      <w:r w:rsidRPr="00BE4B88">
        <w:rPr>
          <w:rFonts w:cstheme="minorHAnsi"/>
        </w:rPr>
        <w:t> des charges fixes liées à l’exploitation des remontées mécaniques, elles-mêmes fixées à </w:t>
      </w:r>
      <w:r w:rsidRPr="00BE4B88">
        <w:rPr>
          <w:rFonts w:cstheme="minorHAnsi"/>
          <w:b/>
          <w:bCs/>
        </w:rPr>
        <w:t>70 %</w:t>
      </w:r>
      <w:r w:rsidRPr="00BE4B88">
        <w:rPr>
          <w:rFonts w:cstheme="minorHAnsi"/>
        </w:rPr>
        <w:t> du chiffre d’affaires en incluant les missions de sécurisation des domaines.</w:t>
      </w:r>
    </w:p>
    <w:p w:rsidR="00BE4B88" w:rsidRPr="00BE4B88" w:rsidRDefault="00BE4B88" w:rsidP="00BE4B88">
      <w:pPr>
        <w:spacing w:after="240"/>
        <w:jc w:val="both"/>
        <w:rPr>
          <w:rFonts w:cstheme="minorHAnsi"/>
        </w:rPr>
      </w:pPr>
      <w:r w:rsidRPr="00BE4B88">
        <w:rPr>
          <w:rFonts w:cstheme="minorHAnsi"/>
        </w:rPr>
        <w:t>Le chiffre d’affaires de référence sera calculé sur la moyenne des 3 dernières années correspondant à la période de fermeture. Cette aide est déplafonnée, sous réserve d’une notification auprès de la Commission européenne.</w:t>
      </w:r>
    </w:p>
    <w:p w:rsidR="00BE4B88" w:rsidRPr="00546F8C" w:rsidRDefault="00BE4B88" w:rsidP="00BE4B88">
      <w:pPr>
        <w:spacing w:after="120"/>
        <w:jc w:val="both"/>
        <w:rPr>
          <w:rFonts w:cstheme="minorHAnsi"/>
          <w:b/>
          <w:sz w:val="24"/>
        </w:rPr>
      </w:pPr>
      <w:r w:rsidRPr="00546F8C">
        <w:rPr>
          <w:rFonts w:cstheme="minorHAnsi"/>
          <w:b/>
          <w:sz w:val="24"/>
        </w:rPr>
        <w:t>Mesure pour les commerces de moins de 50 salariés</w:t>
      </w:r>
    </w:p>
    <w:p w:rsidR="00BE4B88" w:rsidRPr="00BE4B88" w:rsidRDefault="00BE4B88" w:rsidP="00BE4B88">
      <w:pPr>
        <w:spacing w:after="120"/>
        <w:jc w:val="both"/>
        <w:rPr>
          <w:rFonts w:cstheme="minorHAnsi"/>
        </w:rPr>
      </w:pPr>
      <w:r w:rsidRPr="00BE4B88">
        <w:rPr>
          <w:rFonts w:cstheme="minorHAnsi"/>
        </w:rPr>
        <w:t>L’ensemble des commerces situés dans les stations de ski qui ont moins de 50 salariés et qui justifient d’une perte de chiffre d’affaires de plus de </w:t>
      </w:r>
      <w:r w:rsidRPr="00BE4B88">
        <w:rPr>
          <w:rFonts w:cstheme="minorHAnsi"/>
          <w:b/>
          <w:bCs/>
        </w:rPr>
        <w:t>50 %</w:t>
      </w:r>
      <w:r w:rsidRPr="00BE4B88">
        <w:rPr>
          <w:rFonts w:cstheme="minorHAnsi"/>
        </w:rPr>
        <w:t>, seront intégrés aux secteurs faisant l’objet du « plan tourisme ». Suite aux annonces du Premier ministre le 10 décembre, la liste des secteurs d'activité S1bis sera élargie. Elle sera fixée par décret prochainement.</w:t>
      </w:r>
    </w:p>
    <w:p w:rsidR="00BE4B88" w:rsidRPr="00BE4B88" w:rsidRDefault="00BE4B88" w:rsidP="00BE4B88">
      <w:pPr>
        <w:spacing w:after="120"/>
        <w:jc w:val="both"/>
        <w:rPr>
          <w:rFonts w:cstheme="minorHAnsi"/>
        </w:rPr>
      </w:pPr>
      <w:r w:rsidRPr="00BE4B88">
        <w:rPr>
          <w:rFonts w:cstheme="minorHAnsi"/>
        </w:rPr>
        <w:t>À ce titre, les commerces éligibles pourront bénéficier d’une aide au titre du </w:t>
      </w:r>
      <w:hyperlink r:id="rId6" w:history="1">
        <w:r w:rsidRPr="00BE4B88">
          <w:rPr>
            <w:rStyle w:val="Lienhypertexte"/>
            <w:rFonts w:cstheme="minorHAnsi"/>
          </w:rPr>
          <w:t>fonds de solidarité</w:t>
        </w:r>
      </w:hyperlink>
      <w:r w:rsidRPr="00BE4B88">
        <w:rPr>
          <w:rFonts w:cstheme="minorHAnsi"/>
        </w:rPr>
        <w:t> pouvant aller jusqu’à </w:t>
      </w:r>
      <w:r w:rsidRPr="00BE4B88">
        <w:rPr>
          <w:rFonts w:cstheme="minorHAnsi"/>
          <w:b/>
          <w:bCs/>
        </w:rPr>
        <w:t>10 000 €</w:t>
      </w:r>
      <w:r w:rsidRPr="00BE4B88">
        <w:rPr>
          <w:rFonts w:cstheme="minorHAnsi"/>
        </w:rPr>
        <w:t> et de l’</w:t>
      </w:r>
      <w:hyperlink r:id="rId7" w:history="1">
        <w:r w:rsidRPr="00BE4B88">
          <w:rPr>
            <w:rStyle w:val="Lienhypertexte"/>
            <w:rFonts w:cstheme="minorHAnsi"/>
          </w:rPr>
          <w:t>activité partielle</w:t>
        </w:r>
      </w:hyperlink>
      <w:r w:rsidRPr="00BE4B88">
        <w:rPr>
          <w:rFonts w:cstheme="minorHAnsi"/>
        </w:rPr>
        <w:t> avec une prise en charge à </w:t>
      </w:r>
      <w:r w:rsidRPr="00BE4B88">
        <w:rPr>
          <w:rFonts w:cstheme="minorHAnsi"/>
          <w:b/>
          <w:bCs/>
        </w:rPr>
        <w:t>100 %</w:t>
      </w:r>
      <w:r w:rsidRPr="00BE4B88">
        <w:rPr>
          <w:rFonts w:cstheme="minorHAnsi"/>
        </w:rPr>
        <w:t>.</w:t>
      </w:r>
    </w:p>
    <w:p w:rsidR="00BE4B88" w:rsidRPr="00BE4B88" w:rsidRDefault="00BE4B88" w:rsidP="00BE4B88">
      <w:pPr>
        <w:spacing w:after="240"/>
        <w:jc w:val="both"/>
        <w:rPr>
          <w:rFonts w:cstheme="minorHAnsi"/>
        </w:rPr>
      </w:pPr>
      <w:r w:rsidRPr="00BE4B88">
        <w:rPr>
          <w:rFonts w:cstheme="minorHAnsi"/>
        </w:rPr>
        <w:t xml:space="preserve">La mesure s’appliquera également dans les communes des vallées qui dépendent des stations. Il s’agit des communes de montagne membre d’un EPCI support d’une station de ski et n’appartenant pas à </w:t>
      </w:r>
      <w:r>
        <w:rPr>
          <w:rFonts w:cstheme="minorHAnsi"/>
        </w:rPr>
        <w:t>une unité urbaine de plus de 50 </w:t>
      </w:r>
      <w:r w:rsidRPr="00BE4B88">
        <w:rPr>
          <w:rFonts w:cstheme="minorHAnsi"/>
        </w:rPr>
        <w:t>000 habitants.</w:t>
      </w:r>
    </w:p>
    <w:p w:rsidR="00BE4B88" w:rsidRPr="00546F8C" w:rsidRDefault="00BE4B88" w:rsidP="00BE4B88">
      <w:pPr>
        <w:spacing w:after="120"/>
        <w:jc w:val="both"/>
        <w:rPr>
          <w:rFonts w:cstheme="minorHAnsi"/>
          <w:b/>
          <w:sz w:val="24"/>
        </w:rPr>
      </w:pPr>
      <w:r w:rsidRPr="00546F8C">
        <w:rPr>
          <w:rFonts w:cstheme="minorHAnsi"/>
          <w:b/>
          <w:sz w:val="24"/>
        </w:rPr>
        <w:t>Mesure pour les moniteurs de ski</w:t>
      </w:r>
    </w:p>
    <w:p w:rsidR="00BE4B88" w:rsidRPr="00BE4B88" w:rsidRDefault="00BE4B88" w:rsidP="00BE4B88">
      <w:pPr>
        <w:spacing w:after="240"/>
        <w:jc w:val="both"/>
        <w:rPr>
          <w:rFonts w:cstheme="minorHAnsi"/>
        </w:rPr>
      </w:pPr>
      <w:r w:rsidRPr="00BE4B88">
        <w:rPr>
          <w:rFonts w:cstheme="minorHAnsi"/>
        </w:rPr>
        <w:t>Les moniteurs de ski, à titre individuel, pourront accéder au fonds de solidarité avec un droit d’option leur permettant une compensation de perte de leur chiffre d’affaires allant jusqu’à </w:t>
      </w:r>
      <w:r w:rsidRPr="00BE4B88">
        <w:rPr>
          <w:rFonts w:cstheme="minorHAnsi"/>
          <w:b/>
          <w:bCs/>
        </w:rPr>
        <w:t>10 000 € </w:t>
      </w:r>
      <w:r w:rsidRPr="00BE4B88">
        <w:rPr>
          <w:rFonts w:cstheme="minorHAnsi"/>
        </w:rPr>
        <w:t>ou </w:t>
      </w:r>
      <w:r w:rsidRPr="00BE4B88">
        <w:rPr>
          <w:rFonts w:cstheme="minorHAnsi"/>
          <w:b/>
          <w:bCs/>
        </w:rPr>
        <w:t>20 % de leur chiffre d’affaires</w:t>
      </w:r>
      <w:r w:rsidRPr="00BE4B88">
        <w:rPr>
          <w:rFonts w:cstheme="minorHAnsi"/>
        </w:rPr>
        <w:t> réalisé sur la même période en 2019.</w:t>
      </w:r>
    </w:p>
    <w:p w:rsidR="00BE4B88" w:rsidRPr="00546F8C" w:rsidRDefault="00BE4B88" w:rsidP="00BE4B88">
      <w:pPr>
        <w:spacing w:after="120"/>
        <w:jc w:val="both"/>
        <w:rPr>
          <w:rFonts w:cstheme="minorHAnsi"/>
          <w:b/>
          <w:sz w:val="24"/>
        </w:rPr>
      </w:pPr>
      <w:r w:rsidRPr="00546F8C">
        <w:rPr>
          <w:rFonts w:cstheme="minorHAnsi"/>
          <w:b/>
          <w:sz w:val="24"/>
        </w:rPr>
        <w:t>Une aide déjà renforcée pour les activités touristiques et hôtelières de sports d’hiver</w:t>
      </w:r>
    </w:p>
    <w:p w:rsidR="00BE4B88" w:rsidRPr="00BE4B88" w:rsidRDefault="00BE4B88" w:rsidP="00BE4B88">
      <w:pPr>
        <w:spacing w:after="240"/>
        <w:jc w:val="both"/>
        <w:rPr>
          <w:rFonts w:cstheme="minorHAnsi"/>
        </w:rPr>
      </w:pPr>
      <w:r w:rsidRPr="00BE4B88">
        <w:rPr>
          <w:rFonts w:cstheme="minorHAnsi"/>
        </w:rPr>
        <w:t>Les autres activités touristiques et hôtelières de la montagne bénéficient déjà d’une aide renforcée du fonds de solidarité grâce à leur intégration au « plan tourisme ». Afin de permettre aux professionnels de la montagne de sécuriser les embauches de saisonniers, le Gouvernement avait décidé, dès le 30 novembre, d’octroyer le bénéfice de l’activité partielle aux entreprises concernées jusqu’à la reprise d’activité dans les stations.</w:t>
      </w:r>
    </w:p>
    <w:p w:rsidR="00BE4B88" w:rsidRPr="00546F8C" w:rsidRDefault="00BE4B88" w:rsidP="00BE4B88">
      <w:pPr>
        <w:spacing w:after="120"/>
        <w:jc w:val="both"/>
        <w:rPr>
          <w:rFonts w:cstheme="minorHAnsi"/>
          <w:i/>
        </w:rPr>
      </w:pPr>
      <w:r w:rsidRPr="00546F8C">
        <w:rPr>
          <w:rFonts w:cstheme="minorHAnsi"/>
          <w:i/>
        </w:rPr>
        <w:t>Communiqué de p</w:t>
      </w:r>
      <w:r w:rsidRPr="00546F8C">
        <w:rPr>
          <w:rFonts w:cstheme="minorHAnsi"/>
          <w:i/>
        </w:rPr>
        <w:t>resse</w:t>
      </w:r>
      <w:r w:rsidR="00546F8C" w:rsidRPr="00546F8C">
        <w:rPr>
          <w:rFonts w:cstheme="minorHAnsi"/>
          <w:i/>
        </w:rPr>
        <w:t xml:space="preserve"> du</w:t>
      </w:r>
      <w:r w:rsidRPr="00546F8C">
        <w:rPr>
          <w:rFonts w:cstheme="minorHAnsi"/>
          <w:i/>
        </w:rPr>
        <w:t xml:space="preserve"> 14/12/2020 : </w:t>
      </w:r>
      <w:hyperlink r:id="rId8" w:tgtFrame="_blank" w:tooltip="« presse » dans une nouvelle fenêtre" w:history="1">
        <w:r w:rsidRPr="00546F8C">
          <w:rPr>
            <w:rStyle w:val="Lienhypertexte"/>
            <w:rFonts w:cstheme="minorHAnsi"/>
            <w:i/>
          </w:rPr>
          <w:t>mesures économiques en faveur des stations de ski</w:t>
        </w:r>
      </w:hyperlink>
      <w:r w:rsidRPr="00546F8C">
        <w:rPr>
          <w:rFonts w:cstheme="minorHAnsi"/>
          <w:i/>
        </w:rPr>
        <w:t> </w:t>
      </w:r>
    </w:p>
    <w:p w:rsidR="00133183" w:rsidRPr="00BE4B88" w:rsidRDefault="00133183" w:rsidP="00BE4B88">
      <w:pPr>
        <w:spacing w:after="120"/>
        <w:jc w:val="both"/>
        <w:rPr>
          <w:rFonts w:cstheme="minorHAnsi"/>
        </w:rPr>
      </w:pPr>
    </w:p>
    <w:p w:rsidR="00BE4B88" w:rsidRPr="00BE4B88" w:rsidRDefault="00BE4B88">
      <w:pPr>
        <w:spacing w:after="120"/>
        <w:jc w:val="both"/>
        <w:rPr>
          <w:rFonts w:cstheme="minorHAnsi"/>
        </w:rPr>
      </w:pPr>
    </w:p>
    <w:sectPr w:rsidR="00BE4B88" w:rsidRPr="00BE4B88" w:rsidSect="00252298">
      <w:pgSz w:w="11906" w:h="16838" w:code="9"/>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82"/>
    <w:rsid w:val="00133183"/>
    <w:rsid w:val="00252298"/>
    <w:rsid w:val="00325482"/>
    <w:rsid w:val="00546F8C"/>
    <w:rsid w:val="00BE4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4B88"/>
    <w:rPr>
      <w:color w:val="0000FF" w:themeColor="hyperlink"/>
      <w:u w:val="single"/>
    </w:rPr>
  </w:style>
  <w:style w:type="paragraph" w:styleId="Textedebulles">
    <w:name w:val="Balloon Text"/>
    <w:basedOn w:val="Normal"/>
    <w:link w:val="TextedebullesCar"/>
    <w:uiPriority w:val="99"/>
    <w:semiHidden/>
    <w:unhideWhenUsed/>
    <w:rsid w:val="00BE4B88"/>
    <w:rPr>
      <w:rFonts w:ascii="Tahoma" w:hAnsi="Tahoma" w:cs="Tahoma"/>
      <w:sz w:val="16"/>
      <w:szCs w:val="16"/>
    </w:rPr>
  </w:style>
  <w:style w:type="character" w:customStyle="1" w:styleId="TextedebullesCar">
    <w:name w:val="Texte de bulles Car"/>
    <w:basedOn w:val="Policepardfaut"/>
    <w:link w:val="Textedebulles"/>
    <w:uiPriority w:val="99"/>
    <w:semiHidden/>
    <w:rsid w:val="00BE4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4B88"/>
    <w:rPr>
      <w:color w:val="0000FF" w:themeColor="hyperlink"/>
      <w:u w:val="single"/>
    </w:rPr>
  </w:style>
  <w:style w:type="paragraph" w:styleId="Textedebulles">
    <w:name w:val="Balloon Text"/>
    <w:basedOn w:val="Normal"/>
    <w:link w:val="TextedebullesCar"/>
    <w:uiPriority w:val="99"/>
    <w:semiHidden/>
    <w:unhideWhenUsed/>
    <w:rsid w:val="00BE4B88"/>
    <w:rPr>
      <w:rFonts w:ascii="Tahoma" w:hAnsi="Tahoma" w:cs="Tahoma"/>
      <w:sz w:val="16"/>
      <w:szCs w:val="16"/>
    </w:rPr>
  </w:style>
  <w:style w:type="character" w:customStyle="1" w:styleId="TextedebullesCar">
    <w:name w:val="Texte de bulles Car"/>
    <w:basedOn w:val="Policepardfaut"/>
    <w:link w:val="Textedebulles"/>
    <w:uiPriority w:val="99"/>
    <w:semiHidden/>
    <w:rsid w:val="00BE4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35721">
      <w:bodyDiv w:val="1"/>
      <w:marLeft w:val="0"/>
      <w:marRight w:val="0"/>
      <w:marTop w:val="0"/>
      <w:marBottom w:val="0"/>
      <w:divBdr>
        <w:top w:val="none" w:sz="0" w:space="0" w:color="auto"/>
        <w:left w:val="none" w:sz="0" w:space="0" w:color="auto"/>
        <w:bottom w:val="none" w:sz="0" w:space="0" w:color="auto"/>
        <w:right w:val="none" w:sz="0" w:space="0" w:color="auto"/>
      </w:divBdr>
      <w:divsChild>
        <w:div w:id="1262492537">
          <w:marLeft w:val="0"/>
          <w:marRight w:val="0"/>
          <w:marTop w:val="100"/>
          <w:marBottom w:val="100"/>
          <w:divBdr>
            <w:top w:val="none" w:sz="0" w:space="0" w:color="auto"/>
            <w:left w:val="none" w:sz="0" w:space="0" w:color="auto"/>
            <w:bottom w:val="none" w:sz="0" w:space="0" w:color="auto"/>
            <w:right w:val="none" w:sz="0" w:space="0" w:color="auto"/>
          </w:divBdr>
        </w:div>
        <w:div w:id="877813032">
          <w:marLeft w:val="0"/>
          <w:marRight w:val="0"/>
          <w:marTop w:val="100"/>
          <w:marBottom w:val="100"/>
          <w:divBdr>
            <w:top w:val="none" w:sz="0" w:space="0" w:color="auto"/>
            <w:left w:val="none" w:sz="0" w:space="0" w:color="auto"/>
            <w:bottom w:val="none" w:sz="0" w:space="0" w:color="auto"/>
            <w:right w:val="none" w:sz="0" w:space="0" w:color="auto"/>
          </w:divBdr>
          <w:divsChild>
            <w:div w:id="2084637212">
              <w:marLeft w:val="0"/>
              <w:marRight w:val="0"/>
              <w:marTop w:val="0"/>
              <w:marBottom w:val="0"/>
              <w:divBdr>
                <w:top w:val="none" w:sz="0" w:space="0" w:color="auto"/>
                <w:left w:val="none" w:sz="0" w:space="0" w:color="auto"/>
                <w:bottom w:val="none" w:sz="0" w:space="0" w:color="auto"/>
                <w:right w:val="none" w:sz="0" w:space="0" w:color="auto"/>
              </w:divBdr>
            </w:div>
            <w:div w:id="2130202264">
              <w:marLeft w:val="0"/>
              <w:marRight w:val="0"/>
              <w:marTop w:val="0"/>
              <w:marBottom w:val="0"/>
              <w:divBdr>
                <w:top w:val="none" w:sz="0" w:space="0" w:color="auto"/>
                <w:left w:val="none" w:sz="0" w:space="0" w:color="auto"/>
                <w:bottom w:val="none" w:sz="0" w:space="0" w:color="auto"/>
                <w:right w:val="none" w:sz="0" w:space="0" w:color="auto"/>
              </w:divBdr>
              <w:divsChild>
                <w:div w:id="1860970437">
                  <w:marLeft w:val="0"/>
                  <w:marRight w:val="0"/>
                  <w:marTop w:val="0"/>
                  <w:marBottom w:val="0"/>
                  <w:divBdr>
                    <w:top w:val="single" w:sz="6" w:space="0" w:color="407CA8"/>
                    <w:left w:val="single" w:sz="6" w:space="0" w:color="407CA8"/>
                    <w:bottom w:val="single" w:sz="6" w:space="0" w:color="407CA8"/>
                    <w:right w:val="single" w:sz="6" w:space="0" w:color="407CA8"/>
                  </w:divBdr>
                </w:div>
                <w:div w:id="1076048904">
                  <w:marLeft w:val="0"/>
                  <w:marRight w:val="0"/>
                  <w:marTop w:val="0"/>
                  <w:marBottom w:val="0"/>
                  <w:divBdr>
                    <w:top w:val="none" w:sz="0" w:space="0" w:color="auto"/>
                    <w:left w:val="none" w:sz="0" w:space="0" w:color="auto"/>
                    <w:bottom w:val="none" w:sz="0" w:space="0" w:color="auto"/>
                    <w:right w:val="none" w:sz="0" w:space="0" w:color="auto"/>
                  </w:divBdr>
                </w:div>
                <w:div w:id="600916469">
                  <w:marLeft w:val="0"/>
                  <w:marRight w:val="0"/>
                  <w:marTop w:val="0"/>
                  <w:marBottom w:val="0"/>
                  <w:divBdr>
                    <w:top w:val="none" w:sz="0" w:space="0" w:color="auto"/>
                    <w:left w:val="none" w:sz="0" w:space="0" w:color="auto"/>
                    <w:bottom w:val="none" w:sz="0" w:space="0" w:color="auto"/>
                    <w:right w:val="none" w:sz="0" w:space="0" w:color="auto"/>
                  </w:divBdr>
                </w:div>
                <w:div w:id="802500645">
                  <w:marLeft w:val="0"/>
                  <w:marRight w:val="0"/>
                  <w:marTop w:val="0"/>
                  <w:marBottom w:val="0"/>
                  <w:divBdr>
                    <w:top w:val="none" w:sz="0" w:space="0" w:color="auto"/>
                    <w:left w:val="none" w:sz="0" w:space="0" w:color="auto"/>
                    <w:bottom w:val="none" w:sz="0" w:space="0" w:color="auto"/>
                    <w:right w:val="none" w:sz="0" w:space="0" w:color="auto"/>
                  </w:divBdr>
                  <w:divsChild>
                    <w:div w:id="554396170">
                      <w:marLeft w:val="0"/>
                      <w:marRight w:val="0"/>
                      <w:marTop w:val="0"/>
                      <w:marBottom w:val="0"/>
                      <w:divBdr>
                        <w:top w:val="none" w:sz="0" w:space="0" w:color="auto"/>
                        <w:left w:val="none" w:sz="0" w:space="0" w:color="auto"/>
                        <w:bottom w:val="none" w:sz="0" w:space="0" w:color="auto"/>
                        <w:right w:val="none" w:sz="0" w:space="0" w:color="auto"/>
                      </w:divBdr>
                      <w:divsChild>
                        <w:div w:id="227376958">
                          <w:marLeft w:val="0"/>
                          <w:marRight w:val="0"/>
                          <w:marTop w:val="0"/>
                          <w:marBottom w:val="0"/>
                          <w:divBdr>
                            <w:top w:val="none" w:sz="0" w:space="0" w:color="auto"/>
                            <w:left w:val="none" w:sz="0" w:space="0" w:color="auto"/>
                            <w:bottom w:val="none" w:sz="0" w:space="0" w:color="auto"/>
                            <w:right w:val="none" w:sz="0" w:space="0" w:color="auto"/>
                          </w:divBdr>
                          <w:divsChild>
                            <w:div w:id="16167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fi.hosting.augure.com/Augure_Minefi/r/ContenuEnLigne/Download?id=9D58BF77-ECD8-472F-8B22-8A8E1D9055BD&amp;filename=476%20-%20Communiqu%C3%A9%20de%20presse%20-%20Mesures%20%C3%A9conomiques%20en%20faveur%20des%20stations%20de%20ski.pdf" TargetMode="External"/><Relationship Id="rId3" Type="http://schemas.openxmlformats.org/officeDocument/2006/relationships/settings" Target="settings.xml"/><Relationship Id="rId7" Type="http://schemas.openxmlformats.org/officeDocument/2006/relationships/hyperlink" Target="https://www.economie.gouv.fr/covid19-soutien-entreprises/dispositif-de-chomage-parti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onomie.gouv.fr/covid19-soutien-entreprises/fonds-de-solidarite-pour-les-tpe-independants-et-micro"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520</Words>
  <Characters>2862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VAN-MAEL Bruno (DR-ARA)</dc:creator>
  <cp:keywords/>
  <dc:description/>
  <cp:lastModifiedBy>VAN-MAEL Bruno (DR-ARA)</cp:lastModifiedBy>
  <cp:revision>2</cp:revision>
  <dcterms:created xsi:type="dcterms:W3CDTF">2020-12-17T07:35:00Z</dcterms:created>
  <dcterms:modified xsi:type="dcterms:W3CDTF">2020-12-17T07:48:00Z</dcterms:modified>
</cp:coreProperties>
</file>